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DE6" w14:textId="29AA7437" w:rsidR="4C2D626C" w:rsidRPr="00026120" w:rsidRDefault="002E2BCD" w:rsidP="09272010">
      <w:pPr>
        <w:spacing w:after="0"/>
        <w:jc w:val="center"/>
        <w:rPr>
          <w:rFonts w:ascii="Calibri" w:eastAsia="Calibri" w:hAnsi="Calibri" w:cs="Calibri"/>
          <w:b/>
          <w:bCs/>
          <w:sz w:val="24"/>
          <w:szCs w:val="24"/>
          <w:lang w:val="hu-HU"/>
        </w:rPr>
      </w:pPr>
      <w:r w:rsidRPr="00026120">
        <w:rPr>
          <w:rFonts w:ascii="Calibri" w:hAnsi="Calibri"/>
          <w:b/>
          <w:sz w:val="24"/>
          <w:lang w:val="hu-HU"/>
        </w:rPr>
        <w:t>Hogyan készítsük fel a városokat az éghajlatváltozásra</w:t>
      </w:r>
      <w:r w:rsidR="4C2D626C" w:rsidRPr="00026120">
        <w:rPr>
          <w:rFonts w:ascii="Calibri" w:hAnsi="Calibri"/>
          <w:b/>
          <w:sz w:val="24"/>
          <w:lang w:val="hu-HU"/>
        </w:rPr>
        <w:t xml:space="preserve"> </w:t>
      </w:r>
    </w:p>
    <w:p w14:paraId="12C8165A" w14:textId="7AA11453" w:rsidR="42AA7E1C" w:rsidRPr="00026120" w:rsidRDefault="002E2BCD" w:rsidP="09272010">
      <w:pPr>
        <w:spacing w:after="0"/>
        <w:jc w:val="center"/>
        <w:rPr>
          <w:rFonts w:ascii="Calibri" w:eastAsia="Calibri" w:hAnsi="Calibri" w:cs="Calibri"/>
          <w:b/>
          <w:bCs/>
          <w:sz w:val="24"/>
          <w:szCs w:val="24"/>
          <w:lang w:val="hu-HU"/>
        </w:rPr>
      </w:pPr>
      <w:r w:rsidRPr="00026120">
        <w:rPr>
          <w:rFonts w:ascii="Calibri" w:hAnsi="Calibri"/>
          <w:b/>
          <w:sz w:val="24"/>
          <w:lang w:val="hu-HU"/>
        </w:rPr>
        <w:t>Az új katalógus az északi és balti városok innovatív megoldásait mutatja be</w:t>
      </w:r>
    </w:p>
    <w:p w14:paraId="3D421BFA" w14:textId="3923C350" w:rsidR="09272010" w:rsidRPr="00026120" w:rsidRDefault="09272010" w:rsidP="09272010">
      <w:pPr>
        <w:jc w:val="both"/>
        <w:rPr>
          <w:i/>
          <w:iCs/>
          <w:sz w:val="21"/>
          <w:szCs w:val="21"/>
          <w:lang w:val="hu-HU"/>
        </w:rPr>
      </w:pPr>
    </w:p>
    <w:p w14:paraId="1786C523" w14:textId="39BF344A" w:rsidR="00DD56D3" w:rsidRPr="00026120" w:rsidRDefault="002E2BCD" w:rsidP="09272010">
      <w:pPr>
        <w:jc w:val="both"/>
        <w:rPr>
          <w:b/>
          <w:bCs/>
          <w:lang w:val="hu-HU"/>
        </w:rPr>
      </w:pPr>
      <w:r w:rsidRPr="00026120">
        <w:rPr>
          <w:b/>
          <w:lang w:val="hu-HU"/>
        </w:rPr>
        <w:t>2023. június 13. (Koppenhága, Dánia) Egy olyan időszakban, amikor a városoknak világszerte sürgős kihívást jelent az éghajlatváltozás kezelése és a fenntartható városi környezet megteremtése, egy katalógus jelenik meg, amely a városi átalakulás 12 egyedülálló példáját mutatja be skandináv és balti városokban. Az innovatív megoldásokat bemutató, inspiráló katalógust az Európai Innovációs és Technológiai Intézet (EIT), egy uniós szerv, az EIT Urban Mobility kezdeményezése készítette, és az európai városok számára értékes betekintést és ötleteket nyújt arra vonatkozóan, hogyan lehet a közterületek használatát alapvetően átalakítani oly módon, hogy ezzel egyidejűleg csökkenjen a kibocsátás, javuljon a levegőminőség, és a polgárok jobban részt vehessenek a nyilvános vitákban.</w:t>
      </w:r>
    </w:p>
    <w:p w14:paraId="5E8BC90B" w14:textId="79A76B08" w:rsidR="00DD56D3" w:rsidRPr="00026120" w:rsidRDefault="001E2CF9" w:rsidP="09272010">
      <w:pPr>
        <w:jc w:val="both"/>
        <w:rPr>
          <w:lang w:val="hu-HU"/>
        </w:rPr>
      </w:pPr>
      <w:r w:rsidRPr="00026120">
        <w:rPr>
          <w:lang w:val="hu-HU"/>
        </w:rPr>
        <w:t xml:space="preserve">Az </w:t>
      </w:r>
      <w:r w:rsidRPr="00026120">
        <w:rPr>
          <w:b/>
          <w:bCs/>
          <w:lang w:val="hu-HU"/>
        </w:rPr>
        <w:t>"Adaptáció a városi klímára az északi országokban"</w:t>
      </w:r>
      <w:r w:rsidRPr="00026120">
        <w:rPr>
          <w:lang w:val="hu-HU"/>
        </w:rPr>
        <w:t xml:space="preserve"> </w:t>
      </w:r>
      <w:r w:rsidRPr="00026120">
        <w:rPr>
          <w:b/>
          <w:lang w:val="hu-HU"/>
        </w:rPr>
        <w:t xml:space="preserve">(Urban Climate Adaptation in the Nordics - </w:t>
      </w:r>
      <w:r w:rsidRPr="00026120">
        <w:rPr>
          <w:b/>
          <w:bCs/>
          <w:lang w:val="hu-HU"/>
        </w:rPr>
        <w:t>UCAN)</w:t>
      </w:r>
      <w:r w:rsidRPr="00026120">
        <w:rPr>
          <w:lang w:val="hu-HU"/>
        </w:rPr>
        <w:t xml:space="preserve"> címmel megjelent </w:t>
      </w:r>
      <w:hyperlink r:id="rId10">
        <w:r w:rsidRPr="00026120">
          <w:rPr>
            <w:rStyle w:val="Hyperlink"/>
            <w:lang w:val="hu-HU"/>
          </w:rPr>
          <w:t>kiadvány</w:t>
        </w:r>
      </w:hyperlink>
      <w:r w:rsidRPr="00026120">
        <w:rPr>
          <w:lang w:val="hu-HU"/>
        </w:rPr>
        <w:t xml:space="preserve"> a skandináv és balti régió városaiban a közterületek zöldebb, fenntarthatóbb és barátságosabb környezetté alakítására irányuló kezdeti erőfeszítéseket és kulcsfontosságú megoldásokat mutatja be. A katalógusban szereplő esettanulmányok elsősorban a városi tanácsosoknak és tervezési osztályoknak, illetve várostervezőknek és építészeknek szólnak, és </w:t>
      </w:r>
      <w:r w:rsidRPr="00026120">
        <w:rPr>
          <w:b/>
          <w:bCs/>
          <w:lang w:val="hu-HU"/>
        </w:rPr>
        <w:t>Koppenhága, Stockholm és elővárosai, Helsinki, Aarhus, Helsingborg, Riga, Vilnius és Tartu</w:t>
      </w:r>
      <w:r w:rsidRPr="00026120">
        <w:rPr>
          <w:lang w:val="hu-HU"/>
        </w:rPr>
        <w:t xml:space="preserve"> városait érintik. Ezekben különböző megoldásokat mutatunk be arra vonatkozóan, hogy a városok hogyan javíthatják a változó éghajlatra való reagálási képességüket, a fák és zöld növények utcai ültetésétől kezdve a víztározók kialakításán át a csapadékvíz jobb kezeléséig, javítva ezzel a lakosok életminőségét.</w:t>
      </w:r>
      <w:r w:rsidR="00B24D00" w:rsidRPr="00026120">
        <w:rPr>
          <w:lang w:val="hu-HU"/>
        </w:rPr>
        <w:t xml:space="preserve"> </w:t>
      </w:r>
    </w:p>
    <w:p w14:paraId="132330B2" w14:textId="783C7E99" w:rsidR="51BFC7AE" w:rsidRPr="00026120" w:rsidRDefault="001E2CF9" w:rsidP="09272010">
      <w:pPr>
        <w:jc w:val="both"/>
        <w:rPr>
          <w:lang w:val="hu-HU"/>
        </w:rPr>
      </w:pPr>
      <w:r w:rsidRPr="00026120">
        <w:rPr>
          <w:lang w:val="hu-HU"/>
        </w:rPr>
        <w:t>A katalógusban számos hosszú távú tervet és átfogó megközelítést találhat, a koppenhágai Østerbro kerület egyik fontos terének és utcájának vizionárius újratervezésétől kezdve, amely zseniális módon ötvözi a csapadékvíz-kezelést, a gyalogosforgalmat és az ökológiai infrastruktúrát, a nackai projektekig, amelyek hatékonyan és fenntarthatóan kezelik a túlurbanizáció okozta problémákat, miközben kellemesebbé teszik a köztereket.</w:t>
      </w:r>
    </w:p>
    <w:p w14:paraId="4D989BA7" w14:textId="6FE97812" w:rsidR="51BFC7AE" w:rsidRPr="00026120" w:rsidRDefault="001E2CF9" w:rsidP="09272010">
      <w:pPr>
        <w:jc w:val="both"/>
        <w:rPr>
          <w:lang w:val="hu-HU"/>
        </w:rPr>
      </w:pPr>
      <w:r w:rsidRPr="00026120">
        <w:rPr>
          <w:lang w:val="hu-HU"/>
        </w:rPr>
        <w:t>Rávilágít a látszólag kis beavatkozásokban rejlő átalakító potenciálra is. A helsinki, rigai és vilniusi projektek példái azt mutatják, hogy a parkolóhelyek újszerű hasznosítása milyen figyelemre méltó hatást gyakorol, ami új életet visz a városi területekbe, csökkenti az autóforgalom sűrűségét és elősegíti az aktív mobilitást. Még a kis beavatkozások is vezethetnek tehát jelentős, pozitív változásokkal teli átalakuláshoz.</w:t>
      </w:r>
      <w:r w:rsidR="51BFC7AE" w:rsidRPr="00026120">
        <w:rPr>
          <w:lang w:val="hu-HU"/>
        </w:rPr>
        <w:t xml:space="preserve"> </w:t>
      </w:r>
      <w:hyperlink r:id="rId11">
        <w:r w:rsidRPr="00026120">
          <w:rPr>
            <w:rStyle w:val="Hyperlink"/>
            <w:lang w:val="hu-HU"/>
          </w:rPr>
          <w:t>Az esettanulmányokat itt olvashatja el.</w:t>
        </w:r>
      </w:hyperlink>
    </w:p>
    <w:p w14:paraId="31A0AD3D" w14:textId="43CCE596" w:rsidR="05614BB5" w:rsidRPr="00026120" w:rsidRDefault="003A6CB0" w:rsidP="09272010">
      <w:pPr>
        <w:jc w:val="both"/>
        <w:rPr>
          <w:lang w:val="hu-HU"/>
        </w:rPr>
      </w:pPr>
      <w:r w:rsidRPr="00026120">
        <w:rPr>
          <w:lang w:val="hu-HU"/>
        </w:rPr>
        <w:t xml:space="preserve">A katalógus emellett </w:t>
      </w:r>
      <w:r w:rsidRPr="00026120">
        <w:rPr>
          <w:b/>
          <w:bCs/>
          <w:lang w:val="hu-HU"/>
        </w:rPr>
        <w:t>11 alapelvet</w:t>
      </w:r>
      <w:r w:rsidRPr="00026120">
        <w:rPr>
          <w:lang w:val="hu-HU"/>
        </w:rPr>
        <w:t xml:space="preserve"> mutat be arról, hogy az önkormányzatok hogyan alakíthatják át a köztereket az éghajlatváltozáshoz való alkalmazkodás és a fosszilis energiaforrásoktól mentes mobilitás érdekében, miközben biztosítják a polgárok, különösen a fiatalok aktív részvételét és támogatását. Ezeket az ajánlásokat követve a városok a fenntartható városi mobilitás és az éghajlatváltozáshoz való alkalmazkodás irányába mozdulhatnak el, miközben erősítik a polgárok részvételét, vagy az európai kezdeményezésekből származó ösztönzőket veszik igénybe.</w:t>
      </w:r>
    </w:p>
    <w:p w14:paraId="75BA815B" w14:textId="61CF0DE1" w:rsidR="056C069D" w:rsidRPr="00026120" w:rsidRDefault="003A6CB0" w:rsidP="09272010">
      <w:pPr>
        <w:jc w:val="both"/>
        <w:rPr>
          <w:i/>
          <w:iCs/>
          <w:lang w:val="hu-HU"/>
        </w:rPr>
      </w:pPr>
      <w:r w:rsidRPr="00026120">
        <w:rPr>
          <w:b/>
          <w:lang w:val="hu-HU"/>
        </w:rPr>
        <w:t>Anders Bengtsson, az Észak-európai Innovációs Központ vezetője:</w:t>
      </w:r>
      <w:r w:rsidR="056C069D" w:rsidRPr="00026120">
        <w:rPr>
          <w:lang w:val="hu-HU"/>
        </w:rPr>
        <w:t xml:space="preserve"> </w:t>
      </w:r>
      <w:r w:rsidRPr="00026120">
        <w:rPr>
          <w:i/>
          <w:lang w:val="hu-HU"/>
        </w:rPr>
        <w:t xml:space="preserve">"A politikusoknak és a várostervezőknek sokkal intenzívebben kellene foglalkozniuk a jelenlegi helyzettel. Fontos, hogy az európai városok megváltozzanak és sokkal fenntarthatóbbá váljanak, akár a környezet, akár a közegészségügy, akár a társadalmi elérhetőség szempontjából, különösen a gyorsan változó </w:t>
      </w:r>
      <w:r w:rsidRPr="00026120">
        <w:rPr>
          <w:i/>
          <w:lang w:val="hu-HU"/>
        </w:rPr>
        <w:lastRenderedPageBreak/>
        <w:t>éghajlathoz való alkalmazkodás erősítésével. Az EIT városi mobilitási kezdeményezése elsősorban a városok helyzetével foglalkozik. A katalógusban bemutatott esettanulmányok és elvek más városoknak is segítséget nyújthatnak az átalakulás kulcsfontosságú kérdéseinek kezelésében."</w:t>
      </w:r>
    </w:p>
    <w:p w14:paraId="3ED47146" w14:textId="4666E381" w:rsidR="25B5CEF0" w:rsidRPr="00026120" w:rsidRDefault="003A6CB0" w:rsidP="09272010">
      <w:pPr>
        <w:jc w:val="both"/>
        <w:rPr>
          <w:i/>
          <w:iCs/>
          <w:lang w:val="hu-HU"/>
        </w:rPr>
      </w:pPr>
      <w:r w:rsidRPr="00026120">
        <w:rPr>
          <w:b/>
          <w:lang w:val="hu-HU"/>
        </w:rPr>
        <w:t>Anna Maria Gran, vezető tanácsadó, koordinátor, Északi Éghajlat- és Levegő Munkacsoport (Nordic Working Group for Climate and Air NKL), Északi Miniszterek Tanácsa:</w:t>
      </w:r>
      <w:r w:rsidR="25B5CEF0" w:rsidRPr="00026120">
        <w:rPr>
          <w:lang w:val="hu-HU"/>
        </w:rPr>
        <w:t xml:space="preserve"> </w:t>
      </w:r>
      <w:r w:rsidRPr="00026120">
        <w:rPr>
          <w:i/>
          <w:lang w:val="hu-HU"/>
        </w:rPr>
        <w:t>"Az Északi Miniszterek Tanácsának jövőképe szerint az északi régió 2030-ra a világ leginkább fenntartható és integrált régiójává válik. Ehhez elő kell mozdítani az éghajlatsemlegességet és az alkalmazkodási megoldásokat, és lehetőséget kell adni a civil társadalomnak, különösen a gyermekeknek és a fiataloknak a részvételre. Az EIT Urban Mobility Éghajlatváltozáshoz való alkalmazkodás az északi országokban projektje sikeresen hozzájárul ehhez a célhoz. Reméljük, hogy a katalógus más északi és európai városokat is inspirál és segít a zöldítésben."</w:t>
      </w:r>
    </w:p>
    <w:p w14:paraId="38A445FB" w14:textId="7E0646A7" w:rsidR="06552495" w:rsidRPr="00026120" w:rsidRDefault="003A6CB0" w:rsidP="09272010">
      <w:pPr>
        <w:jc w:val="both"/>
        <w:rPr>
          <w:rFonts w:ascii="Calibri Light" w:eastAsia="Calibri Light" w:hAnsi="Calibri Light" w:cs="Calibri Light"/>
          <w:color w:val="00B050"/>
          <w:sz w:val="28"/>
          <w:szCs w:val="28"/>
          <w:lang w:val="hu-HU"/>
        </w:rPr>
      </w:pPr>
      <w:r w:rsidRPr="00026120">
        <w:rPr>
          <w:lang w:val="hu-HU"/>
        </w:rPr>
        <w:t>A jelentős változások során különösen fontos a polgárok bevonása a döntéshozatali folyamatba, ezért a katalógus hangsúlyozza a különböző nézőpontok és vélemények, különösen a fiatalok véleményének figyelembevételének szükségességét. Az EIT Urban Mobility új kezdeményezése a fiatalok bevonására a nyilvános vitába "Alakítsd át az utcádat!" (Transform your street!) címmel, sikeresen hozza be a valós kihívásokat az osztályterembe, és inspirálja a forradalmi várostervezők új generációját. A gyermekek és fiatal felnőttek döntéshozatalba való bevonásával a városok inkluzívabb és fenntarthatóbb köztereket hozhatnak létre, amelyek a társadalom minden tagjának igényeire reagálnak.</w:t>
      </w:r>
    </w:p>
    <w:p w14:paraId="3D59DA75" w14:textId="630FEBF4" w:rsidR="41BBADF6" w:rsidRPr="00026120" w:rsidRDefault="41BBADF6" w:rsidP="09272010">
      <w:pPr>
        <w:spacing w:after="0"/>
        <w:jc w:val="both"/>
        <w:rPr>
          <w:rFonts w:ascii="Calibri Light" w:eastAsia="Calibri Light" w:hAnsi="Calibri Light" w:cs="Calibri Light"/>
          <w:color w:val="00B050"/>
          <w:sz w:val="28"/>
          <w:szCs w:val="28"/>
          <w:lang w:val="hu-HU"/>
        </w:rPr>
      </w:pPr>
      <w:r w:rsidRPr="00026120">
        <w:rPr>
          <w:rFonts w:ascii="Calibri Light" w:hAnsi="Calibri Light"/>
          <w:color w:val="00B050"/>
          <w:lang w:val="hu-HU"/>
        </w:rPr>
        <w:t xml:space="preserve"> </w:t>
      </w:r>
    </w:p>
    <w:p w14:paraId="00D207E9" w14:textId="5F87EA14" w:rsidR="6A31F3A9" w:rsidRPr="00026120" w:rsidRDefault="003A6CB0" w:rsidP="09272010">
      <w:pPr>
        <w:jc w:val="both"/>
        <w:rPr>
          <w:rFonts w:ascii="Calibri Light" w:eastAsia="Calibri Light" w:hAnsi="Calibri Light" w:cs="Calibri Light"/>
          <w:color w:val="00B050"/>
          <w:sz w:val="28"/>
          <w:szCs w:val="28"/>
          <w:lang w:val="hu-HU"/>
        </w:rPr>
      </w:pPr>
      <w:r w:rsidRPr="00026120">
        <w:rPr>
          <w:rFonts w:ascii="Calibri Light" w:hAnsi="Calibri Light"/>
          <w:color w:val="00B050"/>
          <w:sz w:val="28"/>
          <w:lang w:val="hu-HU"/>
        </w:rPr>
        <w:t>A PROJEKTRŐL</w:t>
      </w:r>
    </w:p>
    <w:p w14:paraId="125C5985" w14:textId="1962988B" w:rsidR="0477FB49" w:rsidRPr="00026120" w:rsidRDefault="003A6CB0" w:rsidP="09272010">
      <w:pPr>
        <w:jc w:val="both"/>
        <w:rPr>
          <w:lang w:val="hu-HU"/>
        </w:rPr>
      </w:pPr>
      <w:r w:rsidRPr="00026120">
        <w:rPr>
          <w:lang w:val="hu-HU"/>
        </w:rPr>
        <w:t>A projektet az Északi Éghajlat- és Levegő Munkacsoport (Nordic Working Group for Climate and Air – NKL) társfinanszírozta az Északi Miniszterek Tanácsának égisze alatt. Az Északi Tanács jövőképe, hogy 2030-ra a világ legfenntarthatóbb és legzöldebb régiójává váljon. Az Északi Miniszterek Tanácsával való együttműködés csak támogatja ezt a célt. Ez a projekt támogatja a zöld fejlődés vízióját és az északi megoldásokat a klímasemlegességre és az éghajlatváltozáshoz való alkalmazkodásra. A katalógus itt olvasható:</w:t>
      </w:r>
      <w:r w:rsidR="0477FB49" w:rsidRPr="00026120">
        <w:rPr>
          <w:lang w:val="hu-HU"/>
        </w:rPr>
        <w:t xml:space="preserve"> </w:t>
      </w:r>
      <w:hyperlink r:id="rId12">
        <w:r w:rsidR="0477FB49" w:rsidRPr="00026120">
          <w:rPr>
            <w:rStyle w:val="Hyperlink"/>
            <w:lang w:val="hu-HU"/>
          </w:rPr>
          <w:t>https://pub.norden.org/nord2023-015/</w:t>
        </w:r>
      </w:hyperlink>
      <w:r w:rsidR="0477FB49" w:rsidRPr="00026120">
        <w:rPr>
          <w:lang w:val="hu-HU"/>
        </w:rPr>
        <w:t xml:space="preserve"> </w:t>
      </w:r>
    </w:p>
    <w:p w14:paraId="6BC1CC92" w14:textId="1336EC0D" w:rsidR="5AE8FA59" w:rsidRPr="00026120" w:rsidRDefault="003A6CB0" w:rsidP="09272010">
      <w:pPr>
        <w:jc w:val="both"/>
        <w:rPr>
          <w:rFonts w:ascii="Calibri" w:eastAsia="Calibri" w:hAnsi="Calibri" w:cs="Calibri"/>
          <w:color w:val="4472C4" w:themeColor="accent1"/>
          <w:lang w:val="hu-HU"/>
        </w:rPr>
      </w:pPr>
      <w:r w:rsidRPr="00026120">
        <w:rPr>
          <w:rFonts w:ascii="Calibri" w:hAnsi="Calibri"/>
          <w:b/>
          <w:color w:val="4472C4" w:themeColor="accent1"/>
          <w:lang w:val="hu-HU"/>
        </w:rPr>
        <w:t>EIT Urban Mobility kezdeményezés</w:t>
      </w:r>
    </w:p>
    <w:p w14:paraId="406341A5" w14:textId="08B5ADF6" w:rsidR="5AE8FA59" w:rsidRPr="00026120" w:rsidRDefault="00026120" w:rsidP="09272010">
      <w:pPr>
        <w:jc w:val="both"/>
        <w:rPr>
          <w:rFonts w:ascii="Calibri" w:eastAsia="Calibri" w:hAnsi="Calibri" w:cs="Calibri"/>
          <w:color w:val="000000" w:themeColor="text1"/>
          <w:lang w:val="hu-HU"/>
        </w:rPr>
      </w:pPr>
      <w:r w:rsidRPr="00026120">
        <w:rPr>
          <w:rFonts w:ascii="Calibri" w:hAnsi="Calibri"/>
          <w:i/>
          <w:color w:val="000000" w:themeColor="text1"/>
          <w:lang w:val="hu-HU"/>
        </w:rPr>
        <w:t xml:space="preserve">Az </w:t>
      </w:r>
      <w:hyperlink r:id="rId13">
        <w:r w:rsidRPr="00026120">
          <w:rPr>
            <w:rStyle w:val="Hyperlink"/>
            <w:rFonts w:ascii="Calibri" w:hAnsi="Calibri"/>
            <w:i/>
            <w:lang w:val="hu-HU"/>
          </w:rPr>
          <w:t>Európai Innovációs és Technológia Intézet (EIT)</w:t>
        </w:r>
      </w:hyperlink>
      <w:r w:rsidRPr="00026120">
        <w:rPr>
          <w:rFonts w:ascii="Calibri" w:hAnsi="Calibri"/>
          <w:i/>
          <w:color w:val="000000" w:themeColor="text1"/>
          <w:lang w:val="hu-HU"/>
        </w:rPr>
        <w:t xml:space="preserve">, az Európai Unió egyik szerve, az EIT Urban Mobility kezdeményezésének célja, hogy felgyorsítsa az új megoldások bevezetését és a valóban integrált és multimodális közlekedési rendszerre való átállást, amely a felhasználók által vezérelt. Európa vezető városi mobilitási innovációs közösségeként az EIT Urban Mobility kezdeményezése célja, hogy megelőzze a széttöredezett megoldásokat, és lehetővé tegye a városok, ágazatok, felsőoktatási intézmények, kutatások és innováció közötti együttműködést a legégetőbb városi mobilitási problémák megoldása érdekében. A városokat élő laboratóriumként használva az ipari, kutatási szervezetek és egyetemek partnerei bemutatják, hogy az új technológiák hogyan segíthetnek megoldani a valós problémákat a valós városokban, például a személy-, áru- és hulladékszállítás intelligensebbé tételével. </w:t>
      </w:r>
    </w:p>
    <w:p w14:paraId="3346D098" w14:textId="1932485A" w:rsidR="5AE8FA59" w:rsidRPr="00026120" w:rsidRDefault="00026120" w:rsidP="09272010">
      <w:pPr>
        <w:rPr>
          <w:rFonts w:ascii="Calibri" w:eastAsia="Calibri" w:hAnsi="Calibri" w:cs="Calibri"/>
          <w:color w:val="333333"/>
          <w:lang w:val="hu-HU"/>
        </w:rPr>
      </w:pPr>
      <w:r w:rsidRPr="00026120">
        <w:rPr>
          <w:rFonts w:ascii="Calibri" w:hAnsi="Calibri"/>
          <w:b/>
          <w:color w:val="4472C4" w:themeColor="accent1"/>
          <w:lang w:val="hu-HU"/>
        </w:rPr>
        <w:t xml:space="preserve">További információk a következő címen találhatók: </w:t>
      </w:r>
      <w:hyperlink r:id="rId14">
        <w:r w:rsidR="5AE8FA59" w:rsidRPr="00026120">
          <w:rPr>
            <w:rStyle w:val="Hyperlink"/>
            <w:rFonts w:ascii="Calibri" w:hAnsi="Calibri"/>
            <w:i/>
            <w:lang w:val="hu-HU"/>
          </w:rPr>
          <w:t>www.eiturbanmobility.eu</w:t>
        </w:r>
      </w:hyperlink>
      <w:r w:rsidR="5AE8FA59" w:rsidRPr="00026120">
        <w:rPr>
          <w:rStyle w:val="Hyperlink"/>
          <w:rFonts w:ascii="Calibri" w:hAnsi="Calibri"/>
          <w:i/>
          <w:lang w:val="hu-HU"/>
        </w:rPr>
        <w:t>.</w:t>
      </w:r>
      <w:r w:rsidR="5AE8FA59" w:rsidRPr="00026120">
        <w:rPr>
          <w:rFonts w:ascii="Calibri" w:hAnsi="Calibri"/>
          <w:i/>
          <w:color w:val="333333"/>
          <w:lang w:val="hu-HU"/>
        </w:rPr>
        <w:t xml:space="preserve"> </w:t>
      </w:r>
    </w:p>
    <w:p w14:paraId="5EFBD27F" w14:textId="596C6272" w:rsidR="5AE8FA59" w:rsidRDefault="00026120" w:rsidP="09272010">
      <w:pPr>
        <w:rPr>
          <w:rFonts w:ascii="Calibri" w:eastAsia="Calibri" w:hAnsi="Calibri" w:cs="Calibri"/>
          <w:b/>
          <w:bCs/>
          <w:color w:val="4471C4"/>
        </w:rPr>
      </w:pPr>
      <w:r w:rsidRPr="00026120">
        <w:rPr>
          <w:rFonts w:ascii="Calibri" w:hAnsi="Calibri"/>
          <w:b/>
          <w:color w:val="4471C4"/>
          <w:lang w:val="hu-HU"/>
        </w:rPr>
        <w:t>Kövesse az EIT Urban Mobility kezdeményezését a következőkön</w:t>
      </w:r>
      <w:r w:rsidRPr="00026120">
        <w:rPr>
          <w:rFonts w:ascii="Calibri" w:hAnsi="Calibri"/>
          <w:b/>
          <w:color w:val="4471C4"/>
        </w:rPr>
        <w:t>:</w:t>
      </w:r>
      <w:r w:rsidR="5AE8FA59">
        <w:rPr>
          <w:noProof/>
          <w:lang w:val="sk-SK" w:eastAsia="sk-SK"/>
        </w:rPr>
        <w:drawing>
          <wp:inline distT="0" distB="0" distL="0" distR="0" wp14:anchorId="4ACE9DB4" wp14:editId="3C3AF4F2">
            <wp:extent cx="190500" cy="190500"/>
            <wp:effectExtent l="0" t="0" r="0" b="0"/>
            <wp:docPr id="1005876245" name="Obrázek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5AE8FA59">
        <w:rPr>
          <w:rFonts w:ascii="Calibri" w:hAnsi="Calibri"/>
          <w:b/>
          <w:color w:val="4471C4"/>
        </w:rPr>
        <w:t> </w:t>
      </w:r>
      <w:r w:rsidR="5AE8FA59">
        <w:rPr>
          <w:noProof/>
          <w:lang w:val="sk-SK" w:eastAsia="sk-SK"/>
        </w:rPr>
        <w:drawing>
          <wp:inline distT="0" distB="0" distL="0" distR="0" wp14:anchorId="191203C6" wp14:editId="6CACCA34">
            <wp:extent cx="190500" cy="190500"/>
            <wp:effectExtent l="0" t="0" r="0" b="0"/>
            <wp:docPr id="644694155" name="Obrázek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5AE8FA59">
        <w:rPr>
          <w:rFonts w:ascii="Calibri" w:hAnsi="Calibri"/>
          <w:b/>
          <w:color w:val="4471C4"/>
        </w:rPr>
        <w:t> </w:t>
      </w:r>
      <w:r w:rsidR="5AE8FA59">
        <w:rPr>
          <w:noProof/>
          <w:lang w:val="sk-SK" w:eastAsia="sk-SK"/>
        </w:rPr>
        <w:drawing>
          <wp:inline distT="0" distB="0" distL="0" distR="0" wp14:anchorId="7E76D269" wp14:editId="67548C72">
            <wp:extent cx="228600" cy="209550"/>
            <wp:effectExtent l="0" t="0" r="0" b="0"/>
            <wp:docPr id="2073348092" name="Obrázek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sidR="5AE8FA59">
        <w:rPr>
          <w:rFonts w:ascii="Calibri" w:hAnsi="Calibri"/>
          <w:b/>
          <w:color w:val="4471C4"/>
        </w:rPr>
        <w:t> </w:t>
      </w:r>
      <w:r w:rsidR="5AE8FA59">
        <w:rPr>
          <w:noProof/>
          <w:lang w:val="sk-SK" w:eastAsia="sk-SK"/>
        </w:rPr>
        <w:drawing>
          <wp:inline distT="0" distB="0" distL="0" distR="0" wp14:anchorId="09629875" wp14:editId="5E944481">
            <wp:extent cx="304800" cy="190500"/>
            <wp:effectExtent l="0" t="0" r="0" b="0"/>
            <wp:docPr id="1880380898" name="Obrázek 18803808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sidR="5AE8FA59">
        <w:rPr>
          <w:rFonts w:ascii="Calibri" w:hAnsi="Calibri"/>
          <w:b/>
          <w:color w:val="4471C4"/>
        </w:rPr>
        <w:t> </w:t>
      </w:r>
      <w:r w:rsidR="5AE8FA59">
        <w:rPr>
          <w:noProof/>
          <w:lang w:val="sk-SK" w:eastAsia="sk-SK"/>
        </w:rPr>
        <w:drawing>
          <wp:inline distT="0" distB="0" distL="0" distR="0" wp14:anchorId="50E291A0" wp14:editId="10798404">
            <wp:extent cx="200025" cy="200025"/>
            <wp:effectExtent l="0" t="0" r="0" b="0"/>
            <wp:docPr id="1074651512" name="Obrázek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69CDFCD" w14:textId="1FED5C39" w:rsidR="09272010" w:rsidRDefault="09272010" w:rsidP="09272010"/>
    <w:sectPr w:rsidR="0927201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B223" w14:textId="77777777" w:rsidR="00184F93" w:rsidRDefault="00184F93" w:rsidP="00184F93">
      <w:pPr>
        <w:spacing w:after="0" w:line="240" w:lineRule="auto"/>
      </w:pPr>
      <w:r>
        <w:separator/>
      </w:r>
    </w:p>
  </w:endnote>
  <w:endnote w:type="continuationSeparator" w:id="0">
    <w:p w14:paraId="353A190C" w14:textId="77777777" w:rsidR="00184F93" w:rsidRDefault="00184F93" w:rsidP="0018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61A1" w14:textId="77777777" w:rsidR="00184F93" w:rsidRDefault="00184F93" w:rsidP="00184F93">
      <w:pPr>
        <w:spacing w:after="0" w:line="240" w:lineRule="auto"/>
      </w:pPr>
      <w:r>
        <w:separator/>
      </w:r>
    </w:p>
  </w:footnote>
  <w:footnote w:type="continuationSeparator" w:id="0">
    <w:p w14:paraId="685C3438" w14:textId="77777777" w:rsidR="00184F93" w:rsidRDefault="00184F93" w:rsidP="0018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0CA2" w14:textId="335A1233" w:rsidR="00184F93" w:rsidRDefault="00184F93">
    <w:pPr>
      <w:pStyle w:val="Header"/>
    </w:pPr>
    <w:r>
      <w:rPr>
        <w:noProof/>
      </w:rPr>
      <w:drawing>
        <wp:inline distT="0" distB="0" distL="0" distR="0" wp14:anchorId="2178F3D7" wp14:editId="4C118F1B">
          <wp:extent cx="5731510" cy="1341120"/>
          <wp:effectExtent l="0" t="0" r="2540" b="0"/>
          <wp:docPr id="1080965976"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65976"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D0F2665C"/>
    <w:lvl w:ilvl="0" w:tplc="35DCCA5E">
      <w:start w:val="1"/>
      <w:numFmt w:val="bullet"/>
      <w:lvlText w:val=""/>
      <w:lvlJc w:val="left"/>
      <w:pPr>
        <w:ind w:left="720" w:hanging="360"/>
      </w:pPr>
      <w:rPr>
        <w:rFonts w:ascii="Symbol" w:hAnsi="Symbol" w:hint="default"/>
      </w:rPr>
    </w:lvl>
    <w:lvl w:ilvl="1" w:tplc="2A767240">
      <w:start w:val="1"/>
      <w:numFmt w:val="bullet"/>
      <w:lvlText w:val="o"/>
      <w:lvlJc w:val="left"/>
      <w:pPr>
        <w:ind w:left="1440" w:hanging="360"/>
      </w:pPr>
      <w:rPr>
        <w:rFonts w:ascii="Courier New" w:hAnsi="Courier New" w:hint="default"/>
      </w:rPr>
    </w:lvl>
    <w:lvl w:ilvl="2" w:tplc="A630E998">
      <w:start w:val="1"/>
      <w:numFmt w:val="bullet"/>
      <w:lvlText w:val=""/>
      <w:lvlJc w:val="left"/>
      <w:pPr>
        <w:ind w:left="2160" w:hanging="360"/>
      </w:pPr>
      <w:rPr>
        <w:rFonts w:ascii="Wingdings" w:hAnsi="Wingdings" w:hint="default"/>
      </w:rPr>
    </w:lvl>
    <w:lvl w:ilvl="3" w:tplc="1EB2EFBE">
      <w:start w:val="1"/>
      <w:numFmt w:val="bullet"/>
      <w:lvlText w:val=""/>
      <w:lvlJc w:val="left"/>
      <w:pPr>
        <w:ind w:left="2880" w:hanging="360"/>
      </w:pPr>
      <w:rPr>
        <w:rFonts w:ascii="Symbol" w:hAnsi="Symbol" w:hint="default"/>
      </w:rPr>
    </w:lvl>
    <w:lvl w:ilvl="4" w:tplc="F66E8394">
      <w:start w:val="1"/>
      <w:numFmt w:val="bullet"/>
      <w:lvlText w:val="o"/>
      <w:lvlJc w:val="left"/>
      <w:pPr>
        <w:ind w:left="3600" w:hanging="360"/>
      </w:pPr>
      <w:rPr>
        <w:rFonts w:ascii="Courier New" w:hAnsi="Courier New" w:hint="default"/>
      </w:rPr>
    </w:lvl>
    <w:lvl w:ilvl="5" w:tplc="5A920DB0">
      <w:start w:val="1"/>
      <w:numFmt w:val="bullet"/>
      <w:lvlText w:val=""/>
      <w:lvlJc w:val="left"/>
      <w:pPr>
        <w:ind w:left="4320" w:hanging="360"/>
      </w:pPr>
      <w:rPr>
        <w:rFonts w:ascii="Wingdings" w:hAnsi="Wingdings" w:hint="default"/>
      </w:rPr>
    </w:lvl>
    <w:lvl w:ilvl="6" w:tplc="58E0F014">
      <w:start w:val="1"/>
      <w:numFmt w:val="bullet"/>
      <w:lvlText w:val=""/>
      <w:lvlJc w:val="left"/>
      <w:pPr>
        <w:ind w:left="5040" w:hanging="360"/>
      </w:pPr>
      <w:rPr>
        <w:rFonts w:ascii="Symbol" w:hAnsi="Symbol" w:hint="default"/>
      </w:rPr>
    </w:lvl>
    <w:lvl w:ilvl="7" w:tplc="EAF41A82">
      <w:start w:val="1"/>
      <w:numFmt w:val="bullet"/>
      <w:lvlText w:val="o"/>
      <w:lvlJc w:val="left"/>
      <w:pPr>
        <w:ind w:left="5760" w:hanging="360"/>
      </w:pPr>
      <w:rPr>
        <w:rFonts w:ascii="Courier New" w:hAnsi="Courier New" w:hint="default"/>
      </w:rPr>
    </w:lvl>
    <w:lvl w:ilvl="8" w:tplc="6E7E6680">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167712">
    <w:abstractNumId w:val="7"/>
  </w:num>
  <w:num w:numId="2" w16cid:durableId="1477918003">
    <w:abstractNumId w:val="2"/>
  </w:num>
  <w:num w:numId="3" w16cid:durableId="26151071">
    <w:abstractNumId w:val="1"/>
  </w:num>
  <w:num w:numId="4" w16cid:durableId="60635945">
    <w:abstractNumId w:val="6"/>
  </w:num>
  <w:num w:numId="5" w16cid:durableId="1179731621">
    <w:abstractNumId w:val="4"/>
  </w:num>
  <w:num w:numId="6" w16cid:durableId="465045106">
    <w:abstractNumId w:val="9"/>
  </w:num>
  <w:num w:numId="7" w16cid:durableId="1317153175">
    <w:abstractNumId w:val="5"/>
  </w:num>
  <w:num w:numId="8" w16cid:durableId="328754881">
    <w:abstractNumId w:val="8"/>
  </w:num>
  <w:num w:numId="9" w16cid:durableId="264383400">
    <w:abstractNumId w:val="11"/>
  </w:num>
  <w:num w:numId="10" w16cid:durableId="770197318">
    <w:abstractNumId w:val="10"/>
  </w:num>
  <w:num w:numId="11" w16cid:durableId="1530608133">
    <w:abstractNumId w:val="3"/>
  </w:num>
  <w:num w:numId="12" w16cid:durableId="67510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26120"/>
    <w:rsid w:val="00031E2F"/>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77C"/>
    <w:rsid w:val="000E7C47"/>
    <w:rsid w:val="000F3212"/>
    <w:rsid w:val="00101EB8"/>
    <w:rsid w:val="00102835"/>
    <w:rsid w:val="00107F2A"/>
    <w:rsid w:val="0011378D"/>
    <w:rsid w:val="0011558E"/>
    <w:rsid w:val="00117695"/>
    <w:rsid w:val="00125A31"/>
    <w:rsid w:val="00125F4B"/>
    <w:rsid w:val="00131140"/>
    <w:rsid w:val="00141AAB"/>
    <w:rsid w:val="00143045"/>
    <w:rsid w:val="00152134"/>
    <w:rsid w:val="00154440"/>
    <w:rsid w:val="00156CEF"/>
    <w:rsid w:val="001637BF"/>
    <w:rsid w:val="001641AE"/>
    <w:rsid w:val="0017633C"/>
    <w:rsid w:val="00184F93"/>
    <w:rsid w:val="00185F9D"/>
    <w:rsid w:val="001967BF"/>
    <w:rsid w:val="001A07BD"/>
    <w:rsid w:val="001A51A7"/>
    <w:rsid w:val="001B28D1"/>
    <w:rsid w:val="001B334B"/>
    <w:rsid w:val="001B4D14"/>
    <w:rsid w:val="001C0F7C"/>
    <w:rsid w:val="001C20AD"/>
    <w:rsid w:val="001E0FAC"/>
    <w:rsid w:val="001E2CF9"/>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2E2BCD"/>
    <w:rsid w:val="00313FE9"/>
    <w:rsid w:val="003174B3"/>
    <w:rsid w:val="00326761"/>
    <w:rsid w:val="00333B15"/>
    <w:rsid w:val="00342569"/>
    <w:rsid w:val="0034303A"/>
    <w:rsid w:val="00353D9F"/>
    <w:rsid w:val="00355822"/>
    <w:rsid w:val="0035588C"/>
    <w:rsid w:val="00356F23"/>
    <w:rsid w:val="00360079"/>
    <w:rsid w:val="00362B07"/>
    <w:rsid w:val="00376D78"/>
    <w:rsid w:val="00384988"/>
    <w:rsid w:val="00385C93"/>
    <w:rsid w:val="00396849"/>
    <w:rsid w:val="003A6CB0"/>
    <w:rsid w:val="003B084C"/>
    <w:rsid w:val="003C0935"/>
    <w:rsid w:val="003C1D48"/>
    <w:rsid w:val="003C61D0"/>
    <w:rsid w:val="003C639C"/>
    <w:rsid w:val="003D2A92"/>
    <w:rsid w:val="003D7A4A"/>
    <w:rsid w:val="003E4F62"/>
    <w:rsid w:val="003F33B0"/>
    <w:rsid w:val="003F41C8"/>
    <w:rsid w:val="00401148"/>
    <w:rsid w:val="00403C3B"/>
    <w:rsid w:val="00412D63"/>
    <w:rsid w:val="00440D70"/>
    <w:rsid w:val="00441CEE"/>
    <w:rsid w:val="00443DD4"/>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2CB1"/>
    <w:rsid w:val="007272FA"/>
    <w:rsid w:val="0073695A"/>
    <w:rsid w:val="007416D9"/>
    <w:rsid w:val="007457C6"/>
    <w:rsid w:val="0074662C"/>
    <w:rsid w:val="007471A8"/>
    <w:rsid w:val="0076116B"/>
    <w:rsid w:val="00762B81"/>
    <w:rsid w:val="00764FA6"/>
    <w:rsid w:val="00783B8A"/>
    <w:rsid w:val="00791529"/>
    <w:rsid w:val="00793306"/>
    <w:rsid w:val="007938B0"/>
    <w:rsid w:val="00794706"/>
    <w:rsid w:val="007A02AB"/>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DF"/>
    <w:rsid w:val="00B7708E"/>
    <w:rsid w:val="00B81EE1"/>
    <w:rsid w:val="00B8525F"/>
    <w:rsid w:val="00B94A0F"/>
    <w:rsid w:val="00B95F3D"/>
    <w:rsid w:val="00BA08D7"/>
    <w:rsid w:val="00BB53CD"/>
    <w:rsid w:val="00BC5982"/>
    <w:rsid w:val="00BC5C5D"/>
    <w:rsid w:val="00BD2747"/>
    <w:rsid w:val="00BE2774"/>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C5978"/>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B61"/>
    <w:rsid w:val="00EB3F7D"/>
    <w:rsid w:val="00EB6108"/>
    <w:rsid w:val="00ED07E4"/>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A76D03"/>
    <w:rsid w:val="03013296"/>
    <w:rsid w:val="041A2ADE"/>
    <w:rsid w:val="0477FB49"/>
    <w:rsid w:val="049EFEAF"/>
    <w:rsid w:val="05614BB5"/>
    <w:rsid w:val="056C069D"/>
    <w:rsid w:val="056E6206"/>
    <w:rsid w:val="058B050C"/>
    <w:rsid w:val="06552495"/>
    <w:rsid w:val="0762DE3E"/>
    <w:rsid w:val="09272010"/>
    <w:rsid w:val="09CA4F12"/>
    <w:rsid w:val="09E42B18"/>
    <w:rsid w:val="0A1634AE"/>
    <w:rsid w:val="0A29ECC5"/>
    <w:rsid w:val="0ACA3F09"/>
    <w:rsid w:val="0B27143B"/>
    <w:rsid w:val="0B4A79F4"/>
    <w:rsid w:val="0B4AD403"/>
    <w:rsid w:val="0C5E431C"/>
    <w:rsid w:val="0F33FAC4"/>
    <w:rsid w:val="101DEB17"/>
    <w:rsid w:val="109996F4"/>
    <w:rsid w:val="11750F01"/>
    <w:rsid w:val="1310DF62"/>
    <w:rsid w:val="138A971E"/>
    <w:rsid w:val="14A118A2"/>
    <w:rsid w:val="15529497"/>
    <w:rsid w:val="159508F2"/>
    <w:rsid w:val="174A9C7B"/>
    <w:rsid w:val="1858BD05"/>
    <w:rsid w:val="18D77C00"/>
    <w:rsid w:val="18D951FF"/>
    <w:rsid w:val="18F48676"/>
    <w:rsid w:val="191898CC"/>
    <w:rsid w:val="1A2CD465"/>
    <w:rsid w:val="1A743552"/>
    <w:rsid w:val="1B0EE253"/>
    <w:rsid w:val="1B7ECCC8"/>
    <w:rsid w:val="1C0F1CC2"/>
    <w:rsid w:val="1C1005B3"/>
    <w:rsid w:val="1CAAB2B4"/>
    <w:rsid w:val="1DABD614"/>
    <w:rsid w:val="1DBEB897"/>
    <w:rsid w:val="1DF08B21"/>
    <w:rsid w:val="1E7F7032"/>
    <w:rsid w:val="1F175B5C"/>
    <w:rsid w:val="1F47A675"/>
    <w:rsid w:val="218A5554"/>
    <w:rsid w:val="21DEE472"/>
    <w:rsid w:val="23787F80"/>
    <w:rsid w:val="243D4EFB"/>
    <w:rsid w:val="24B5C499"/>
    <w:rsid w:val="250DF19A"/>
    <w:rsid w:val="25ABB554"/>
    <w:rsid w:val="25B5CEF0"/>
    <w:rsid w:val="265194FA"/>
    <w:rsid w:val="277E450A"/>
    <w:rsid w:val="27DACD9C"/>
    <w:rsid w:val="28ACE7EA"/>
    <w:rsid w:val="28EAEE90"/>
    <w:rsid w:val="29DB55CE"/>
    <w:rsid w:val="2B20D1E9"/>
    <w:rsid w:val="2BFFA0B3"/>
    <w:rsid w:val="2C6B2CC3"/>
    <w:rsid w:val="2D2194A2"/>
    <w:rsid w:val="2E2237C4"/>
    <w:rsid w:val="2F9E5403"/>
    <w:rsid w:val="300BC4A4"/>
    <w:rsid w:val="30C3E9D6"/>
    <w:rsid w:val="31C09351"/>
    <w:rsid w:val="3228ED5C"/>
    <w:rsid w:val="336F1CA6"/>
    <w:rsid w:val="3471C526"/>
    <w:rsid w:val="3499DD0E"/>
    <w:rsid w:val="34B37639"/>
    <w:rsid w:val="34FAFFC8"/>
    <w:rsid w:val="35166317"/>
    <w:rsid w:val="352868D2"/>
    <w:rsid w:val="35B2B476"/>
    <w:rsid w:val="36F4B204"/>
    <w:rsid w:val="388E6072"/>
    <w:rsid w:val="38DE23BB"/>
    <w:rsid w:val="38DF9C9E"/>
    <w:rsid w:val="392B7E70"/>
    <w:rsid w:val="39CE70EB"/>
    <w:rsid w:val="3AED4794"/>
    <w:rsid w:val="3B4BD117"/>
    <w:rsid w:val="3B6F2A69"/>
    <w:rsid w:val="3C15C47D"/>
    <w:rsid w:val="3C768518"/>
    <w:rsid w:val="3D0AFACA"/>
    <w:rsid w:val="3D54E9E7"/>
    <w:rsid w:val="3DC69158"/>
    <w:rsid w:val="3F60B88F"/>
    <w:rsid w:val="3FC3CC60"/>
    <w:rsid w:val="40364D50"/>
    <w:rsid w:val="403DB26F"/>
    <w:rsid w:val="4055CAC6"/>
    <w:rsid w:val="41729E9A"/>
    <w:rsid w:val="41BBADF6"/>
    <w:rsid w:val="429A027B"/>
    <w:rsid w:val="42AA7E1C"/>
    <w:rsid w:val="42C58695"/>
    <w:rsid w:val="42F40615"/>
    <w:rsid w:val="4428C3E8"/>
    <w:rsid w:val="4487EDB8"/>
    <w:rsid w:val="455C6D39"/>
    <w:rsid w:val="45A1FF0C"/>
    <w:rsid w:val="45C49449"/>
    <w:rsid w:val="46167E6D"/>
    <w:rsid w:val="4623C995"/>
    <w:rsid w:val="4628ACC8"/>
    <w:rsid w:val="46CC16B7"/>
    <w:rsid w:val="47587724"/>
    <w:rsid w:val="476064AA"/>
    <w:rsid w:val="47C77738"/>
    <w:rsid w:val="481DC0A3"/>
    <w:rsid w:val="49648822"/>
    <w:rsid w:val="4BBB602F"/>
    <w:rsid w:val="4C2D626C"/>
    <w:rsid w:val="4C33D5CD"/>
    <w:rsid w:val="4C5962B4"/>
    <w:rsid w:val="4C720761"/>
    <w:rsid w:val="4CADC80C"/>
    <w:rsid w:val="4CCA017F"/>
    <w:rsid w:val="4D101593"/>
    <w:rsid w:val="4D4DA31C"/>
    <w:rsid w:val="4D573090"/>
    <w:rsid w:val="4E83EA74"/>
    <w:rsid w:val="4EF300F1"/>
    <w:rsid w:val="4F6B768F"/>
    <w:rsid w:val="4F92A06E"/>
    <w:rsid w:val="50D7EEAD"/>
    <w:rsid w:val="512E70CF"/>
    <w:rsid w:val="51BFC7AE"/>
    <w:rsid w:val="520F13C1"/>
    <w:rsid w:val="524D4778"/>
    <w:rsid w:val="52F4CF36"/>
    <w:rsid w:val="53B9709C"/>
    <w:rsid w:val="53CA77E4"/>
    <w:rsid w:val="5433D579"/>
    <w:rsid w:val="54661191"/>
    <w:rsid w:val="55531B10"/>
    <w:rsid w:val="5667DB10"/>
    <w:rsid w:val="58083AA4"/>
    <w:rsid w:val="5A1CBACA"/>
    <w:rsid w:val="5A8276D5"/>
    <w:rsid w:val="5AAE2936"/>
    <w:rsid w:val="5AE8FA59"/>
    <w:rsid w:val="5BE8B31D"/>
    <w:rsid w:val="5C379E99"/>
    <w:rsid w:val="5C56E368"/>
    <w:rsid w:val="5CC7E13A"/>
    <w:rsid w:val="5D375CF8"/>
    <w:rsid w:val="5E46ACD2"/>
    <w:rsid w:val="5E4BFCF5"/>
    <w:rsid w:val="5F37E98E"/>
    <w:rsid w:val="5FBD4963"/>
    <w:rsid w:val="6028CF00"/>
    <w:rsid w:val="603C317F"/>
    <w:rsid w:val="61DEDCF3"/>
    <w:rsid w:val="6265A3A3"/>
    <w:rsid w:val="62D173E8"/>
    <w:rsid w:val="62E0ED61"/>
    <w:rsid w:val="62F06C55"/>
    <w:rsid w:val="637AAD54"/>
    <w:rsid w:val="638C818D"/>
    <w:rsid w:val="63E9D739"/>
    <w:rsid w:val="63FAA2CE"/>
    <w:rsid w:val="64017404"/>
    <w:rsid w:val="660B99B6"/>
    <w:rsid w:val="66188E23"/>
    <w:rsid w:val="6681955C"/>
    <w:rsid w:val="66B24E16"/>
    <w:rsid w:val="6733C98A"/>
    <w:rsid w:val="68CF99EB"/>
    <w:rsid w:val="698AA197"/>
    <w:rsid w:val="6A31F3A9"/>
    <w:rsid w:val="6A46C370"/>
    <w:rsid w:val="6AF36465"/>
    <w:rsid w:val="6B77A053"/>
    <w:rsid w:val="6C073AAD"/>
    <w:rsid w:val="6C42A30B"/>
    <w:rsid w:val="6C5FF88F"/>
    <w:rsid w:val="6D46E974"/>
    <w:rsid w:val="6D4C6E45"/>
    <w:rsid w:val="6F3A23FB"/>
    <w:rsid w:val="701D934C"/>
    <w:rsid w:val="70470F91"/>
    <w:rsid w:val="706561D9"/>
    <w:rsid w:val="7186DCE7"/>
    <w:rsid w:val="71ECB9BC"/>
    <w:rsid w:val="723CA7E9"/>
    <w:rsid w:val="72B264C9"/>
    <w:rsid w:val="7355340E"/>
    <w:rsid w:val="736CBADB"/>
    <w:rsid w:val="73A17FE3"/>
    <w:rsid w:val="74377856"/>
    <w:rsid w:val="7538D2FC"/>
    <w:rsid w:val="7649F768"/>
    <w:rsid w:val="76D4A35D"/>
    <w:rsid w:val="7792D94A"/>
    <w:rsid w:val="78B1CFD9"/>
    <w:rsid w:val="78BDEB32"/>
    <w:rsid w:val="78BE78AB"/>
    <w:rsid w:val="793BB406"/>
    <w:rsid w:val="7A0C441F"/>
    <w:rsid w:val="7AAC89A6"/>
    <w:rsid w:val="7C532498"/>
    <w:rsid w:val="7DEEF4F9"/>
    <w:rsid w:val="7ED9D51E"/>
    <w:rsid w:val="7F33C070"/>
    <w:rsid w:val="7FD378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C22D"/>
  <w15:docId w15:val="{989A0A92-FE5E-47CD-BF4F-CA9D518F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customStyle="1" w:styleId="Nevyrieenzmienka1">
    <w:name w:val="Nevyriešená zmienka1"/>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84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93"/>
  </w:style>
  <w:style w:type="paragraph" w:styleId="Footer">
    <w:name w:val="footer"/>
    <w:basedOn w:val="Normal"/>
    <w:link w:val="FooterChar"/>
    <w:uiPriority w:val="99"/>
    <w:unhideWhenUsed/>
    <w:rsid w:val="00184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norden.org/nord2023-01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pub.norden.org/nord2023-015/"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turbanmobility.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customXml/itemProps2.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3.xml><?xml version="1.0" encoding="utf-8"?>
<ds:datastoreItem xmlns:ds="http://schemas.openxmlformats.org/officeDocument/2006/customXml" ds:itemID="{5E652EF1-7E17-4A6B-8C36-AD29AE09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e9603-1343-4ec5-8e91-d1f880153d9a"/>
    <ds:schemaRef ds:uri="74b272ca-86d5-4eaf-9000-0ea7439b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6128</Characters>
  <Application>Microsoft Office Word</Application>
  <DocSecurity>0</DocSecurity>
  <Lines>51</Lines>
  <Paragraphs>14</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Delrive</dc:creator>
  <cp:lastModifiedBy>Marine  Moulin</cp:lastModifiedBy>
  <cp:revision>3</cp:revision>
  <dcterms:created xsi:type="dcterms:W3CDTF">2023-06-09T09:42:00Z</dcterms:created>
  <dcterms:modified xsi:type="dcterms:W3CDTF">2023-06-13T13:46:00Z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