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D81C2" w14:textId="77777777" w:rsidR="00CD0819" w:rsidRDefault="00CD0819" w:rsidP="00736E35">
      <w:bookmarkStart w:id="0" w:name="_Hlk79666140"/>
      <w:bookmarkEnd w:id="0"/>
    </w:p>
    <w:p w14:paraId="4A3D85A6" w14:textId="543D84AE" w:rsidR="00D85E58" w:rsidRDefault="00D85E58" w:rsidP="00D85E58">
      <w:pPr>
        <w:pStyle w:val="Nadpis1"/>
        <w:rPr>
          <w:b/>
          <w:bCs/>
        </w:rPr>
      </w:pPr>
      <w:r>
        <w:t>Nowy raport ujawnia, że w Europie potrzebna jest inwestycja 1,5 tryliona euro w zrównoważoną mobilność do roku 2050</w:t>
      </w:r>
    </w:p>
    <w:p w14:paraId="69D50A42" w14:textId="10222D6F" w:rsidR="00E3385F" w:rsidRPr="00F36478" w:rsidRDefault="21F718D7" w:rsidP="5BFF6A41">
      <w:pPr>
        <w:pStyle w:val="Zvr"/>
        <w:jc w:val="both"/>
        <w:rPr>
          <w:rFonts w:cs="Calibri Light"/>
          <w:b/>
          <w:bCs/>
          <w:color w:val="333333" w:themeColor="text1"/>
          <w:sz w:val="20"/>
          <w:szCs w:val="20"/>
        </w:rPr>
      </w:pPr>
      <w:r>
        <w:rPr>
          <w:b/>
          <w:color w:val="333333" w:themeColor="text1"/>
          <w:sz w:val="20"/>
        </w:rPr>
        <w:t>(EU. 1 października 2024) – EIT Urban Mobility, inicjatywa Europejskiego Instytutu Innowacji i Technologii (EIT), organu Unii Europejskiej, opublikowała dzisiaj swoje najnowsze badanie, „Koszty i korzyści związane z transformacją mobilności miejskiej” (Cost and Benefit of the Urban Mobility Transition). W ramach tego rozległego badania zanalizowano</w:t>
      </w:r>
      <w:r w:rsidR="00D0694F">
        <w:rPr>
          <w:b/>
          <w:color w:val="333333" w:themeColor="text1"/>
          <w:sz w:val="20"/>
        </w:rPr>
        <w:t>,</w:t>
      </w:r>
      <w:r>
        <w:rPr>
          <w:b/>
          <w:color w:val="333333" w:themeColor="text1"/>
          <w:sz w:val="20"/>
        </w:rPr>
        <w:t xml:space="preserve"> jak miasta europejskie mogą zaplanować kompleksową drogę w stronę osiągnięcia celów Green Deal UE dla sektora transportowego do roku 2030 i 2050, oceniając skutki finansowe i społeczne dla różnych strategii mobilności.</w:t>
      </w:r>
    </w:p>
    <w:p w14:paraId="2DFA8EDC" w14:textId="5D29A3CB" w:rsidR="00E3385F" w:rsidRPr="00E3385F" w:rsidRDefault="00E3385F" w:rsidP="7F0FBE56">
      <w:pPr>
        <w:pStyle w:val="Zvr"/>
        <w:jc w:val="both"/>
        <w:rPr>
          <w:rFonts w:cs="Calibri Light"/>
          <w:color w:val="333333" w:themeColor="text1"/>
          <w:sz w:val="20"/>
          <w:szCs w:val="20"/>
        </w:rPr>
      </w:pPr>
      <w:r>
        <w:rPr>
          <w:color w:val="333333" w:themeColor="text1"/>
          <w:sz w:val="20"/>
        </w:rPr>
        <w:t xml:space="preserve">Badanie, stanowiące aktualizację raportu z 2021 roku, oferuje szczegółową symulację trzech scenariuszy transformacji </w:t>
      </w:r>
      <w:r w:rsidR="00D0694F">
        <w:rPr>
          <w:color w:val="333333" w:themeColor="text1"/>
          <w:sz w:val="20"/>
        </w:rPr>
        <w:t xml:space="preserve"> </w:t>
      </w:r>
      <w:r>
        <w:rPr>
          <w:color w:val="333333" w:themeColor="text1"/>
          <w:sz w:val="20"/>
        </w:rPr>
        <w:t>w dwunastu prototypowych miastach europejskich, odzwierciedlając różnorodność środowisk miejskich w ramach UE. Wykazuje, że podczas gdy sam rozwój technologiczny może do roku 2030 ograniczyć emisje CO</w:t>
      </w:r>
      <w:r>
        <w:rPr>
          <w:color w:val="333333" w:themeColor="text1"/>
          <w:sz w:val="20"/>
          <w:vertAlign w:val="subscript"/>
        </w:rPr>
        <w:t>2</w:t>
      </w:r>
      <w:r>
        <w:rPr>
          <w:color w:val="333333" w:themeColor="text1"/>
          <w:sz w:val="20"/>
        </w:rPr>
        <w:t xml:space="preserve"> o 21%, </w:t>
      </w:r>
      <w:r w:rsidR="00D0694F">
        <w:rPr>
          <w:color w:val="333333" w:themeColor="text1"/>
          <w:sz w:val="20"/>
        </w:rPr>
        <w:t xml:space="preserve">to </w:t>
      </w:r>
      <w:r>
        <w:rPr>
          <w:color w:val="333333" w:themeColor="text1"/>
          <w:sz w:val="20"/>
        </w:rPr>
        <w:t>osiągnięcie celów Green Deal wymaga środków znacznie bardziej ambitnych. Jedyna droga do redukcji emisji w mobilności miejskiej spełniające</w:t>
      </w:r>
      <w:r w:rsidR="00D0694F">
        <w:rPr>
          <w:color w:val="333333" w:themeColor="text1"/>
          <w:sz w:val="20"/>
        </w:rPr>
        <w:t>j</w:t>
      </w:r>
      <w:r>
        <w:rPr>
          <w:color w:val="333333" w:themeColor="text1"/>
          <w:sz w:val="20"/>
        </w:rPr>
        <w:t xml:space="preserve"> cele Green Deal na rok 2030 wymaga ograniczenia emisji o 44%, ale wiążą się z nią znaczne wyzwania w dziedzinie akceptacji opinii publicznej i zmian zachowań.</w:t>
      </w:r>
    </w:p>
    <w:p w14:paraId="5FF75FFB" w14:textId="39572824" w:rsidR="00066385" w:rsidRPr="00E3385F" w:rsidRDefault="00066385" w:rsidP="7620D329">
      <w:pPr>
        <w:pStyle w:val="Zvr"/>
        <w:jc w:val="both"/>
        <w:rPr>
          <w:rFonts w:cs="Calibri Light"/>
          <w:color w:val="333333" w:themeColor="text1"/>
          <w:sz w:val="20"/>
          <w:szCs w:val="20"/>
        </w:rPr>
      </w:pPr>
      <w:r>
        <w:rPr>
          <w:b/>
          <w:color w:val="333333" w:themeColor="text1"/>
          <w:sz w:val="20"/>
        </w:rPr>
        <w:t>Badanie podkreśla, że najbardziej skuteczne środki pozwalające ograniczyć używanie samochodów prywatnych, a zatem także emisji, wymagają połączenia atrakcyjnego transportu publicznego, możliwości dzielonej mobilności, a także ograniczenia dostępu w rodzaju stref niskoemisyjnych</w:t>
      </w:r>
      <w:r>
        <w:rPr>
          <w:color w:val="333333" w:themeColor="text1"/>
          <w:sz w:val="20"/>
        </w:rPr>
        <w:t xml:space="preserve">. </w:t>
      </w:r>
      <w:r>
        <w:rPr>
          <w:b/>
          <w:color w:val="333333" w:themeColor="text1"/>
          <w:sz w:val="20"/>
        </w:rPr>
        <w:t xml:space="preserve">Do roku 2030 środki te mogą doprowadzić do wzrostu wykorzystania transportu publicznego o 7% i ograniczenia jazd samochodami prywatnymi o 16%. </w:t>
      </w:r>
    </w:p>
    <w:p w14:paraId="3DF5D88E" w14:textId="217D97DC" w:rsidR="00E3385F" w:rsidRPr="00E3385F" w:rsidRDefault="51CB5924" w:rsidP="34B0782D">
      <w:pPr>
        <w:pStyle w:val="Zvr"/>
        <w:jc w:val="both"/>
        <w:rPr>
          <w:rFonts w:cs="Calibri Light"/>
          <w:color w:val="333333" w:themeColor="text1"/>
          <w:sz w:val="20"/>
          <w:szCs w:val="20"/>
        </w:rPr>
      </w:pPr>
      <w:r>
        <w:rPr>
          <w:b/>
          <w:color w:val="333333" w:themeColor="text1"/>
          <w:sz w:val="20"/>
        </w:rPr>
        <w:t>Maria Tsavachidis, CEO EIT Urban Mobility, skomentowała ustalenia</w:t>
      </w:r>
      <w:r>
        <w:rPr>
          <w:color w:val="333333" w:themeColor="text1"/>
          <w:sz w:val="20"/>
        </w:rPr>
        <w:t xml:space="preserve">: </w:t>
      </w:r>
      <w:r>
        <w:rPr>
          <w:i/>
          <w:color w:val="333333" w:themeColor="text1"/>
          <w:sz w:val="20"/>
        </w:rPr>
        <w:t>Raport podkreśla, jak ważne jest priorytetyzowanie właściwych inwestycji w czystą mobilność i płynące z niej korzyści dla zdrowia i środowiska. Transport publiczny jawi się jako najlepsze kosztowo oraz inkluzywne rozwiązanie prowadzące do ograniczenia emisji CO</w:t>
      </w:r>
      <w:r>
        <w:rPr>
          <w:i/>
          <w:color w:val="333333" w:themeColor="text1"/>
          <w:sz w:val="20"/>
          <w:vertAlign w:val="subscript"/>
        </w:rPr>
        <w:t>2</w:t>
      </w:r>
      <w:r>
        <w:rPr>
          <w:i/>
          <w:color w:val="333333" w:themeColor="text1"/>
          <w:sz w:val="20"/>
        </w:rPr>
        <w:t xml:space="preserve">. Jednak transformacja ta wiąże się z pewnymi wyzwaniami. </w:t>
      </w:r>
      <w:r w:rsidR="00D0694F">
        <w:rPr>
          <w:i/>
          <w:color w:val="333333" w:themeColor="text1"/>
          <w:sz w:val="20"/>
        </w:rPr>
        <w:t>Potrzebujemy</w:t>
      </w:r>
      <w:r>
        <w:rPr>
          <w:i/>
          <w:color w:val="333333" w:themeColor="text1"/>
          <w:sz w:val="20"/>
        </w:rPr>
        <w:t xml:space="preserve"> skoordynowanych wysiłków na wszystkich poziomach — od poziomu miasta po europejski — aby zapewnić, że dokonane zostaną niezbędne inwestycje, a obywatele będą zaangażowani i otrzymają wsparcie podczas transformacji.</w:t>
      </w:r>
    </w:p>
    <w:p w14:paraId="3D6D9D09" w14:textId="783680C8" w:rsidR="001A6064" w:rsidRDefault="001A6064" w:rsidP="7620D329">
      <w:pPr>
        <w:pStyle w:val="Zvr"/>
        <w:jc w:val="both"/>
        <w:rPr>
          <w:rFonts w:cs="Calibri Light"/>
          <w:color w:val="333333" w:themeColor="text1"/>
          <w:sz w:val="20"/>
          <w:szCs w:val="20"/>
        </w:rPr>
      </w:pPr>
      <w:r>
        <w:rPr>
          <w:color w:val="333333" w:themeColor="text1"/>
          <w:sz w:val="20"/>
        </w:rPr>
        <w:t>Przewiduje się, że do roku 2050 wszystkie trzy scenariusze</w:t>
      </w:r>
      <w:r w:rsidR="00D0694F">
        <w:rPr>
          <w:color w:val="333333" w:themeColor="text1"/>
          <w:sz w:val="20"/>
        </w:rPr>
        <w:t>,</w:t>
      </w:r>
      <w:r>
        <w:rPr>
          <w:color w:val="333333" w:themeColor="text1"/>
          <w:sz w:val="20"/>
        </w:rPr>
        <w:t xml:space="preserve"> analizowane w ramach studium</w:t>
      </w:r>
      <w:r w:rsidR="00D0694F">
        <w:rPr>
          <w:color w:val="333333" w:themeColor="text1"/>
          <w:sz w:val="20"/>
        </w:rPr>
        <w:t>.</w:t>
      </w:r>
      <w:r>
        <w:rPr>
          <w:color w:val="333333" w:themeColor="text1"/>
          <w:sz w:val="20"/>
        </w:rPr>
        <w:t xml:space="preserve"> spełnią cele dekarbonizacyjne Green Deal dla sektora transportu, głównie przez postęp technologiczny oraz odnowę flot pojazdów</w:t>
      </w:r>
      <w:r>
        <w:rPr>
          <w:b/>
          <w:color w:val="333333" w:themeColor="text1"/>
          <w:sz w:val="20"/>
        </w:rPr>
        <w:t>. Studium szacuje, że osiągnięcie tych celów będzie wymagało inwestycji rzędu co najmniej 1,5 tryliona euro</w:t>
      </w:r>
      <w:r w:rsidRPr="39DDCA69">
        <w:rPr>
          <w:rStyle w:val="Znakapoznpodarou"/>
          <w:rFonts w:cs="Calibri Light"/>
          <w:b/>
          <w:bCs/>
          <w:color w:val="333333" w:themeColor="text1"/>
          <w:sz w:val="20"/>
          <w:szCs w:val="20"/>
          <w:lang w:val="en-GB"/>
        </w:rPr>
        <w:footnoteReference w:id="2"/>
      </w:r>
      <w:r>
        <w:rPr>
          <w:b/>
          <w:color w:val="333333" w:themeColor="text1"/>
          <w:sz w:val="20"/>
        </w:rPr>
        <w:t>, w tym 500 miliardów euro na wdrożenie rozmaitych środków prowadzących do zrównoważonej ekologicznie mobilności i zarządzanie nimi.</w:t>
      </w:r>
      <w:r>
        <w:rPr>
          <w:color w:val="333333" w:themeColor="text1"/>
          <w:sz w:val="20"/>
        </w:rPr>
        <w:t xml:space="preserve"> Chociaż koszty te są znaczne, badanie podkreśla, że korzyści — takie jak ograniczenie emisji CO</w:t>
      </w:r>
      <w:r>
        <w:rPr>
          <w:color w:val="333333" w:themeColor="text1"/>
          <w:sz w:val="20"/>
          <w:vertAlign w:val="subscript"/>
        </w:rPr>
        <w:t>2</w:t>
      </w:r>
      <w:r>
        <w:rPr>
          <w:color w:val="333333" w:themeColor="text1"/>
          <w:sz w:val="20"/>
        </w:rPr>
        <w:t>, poprawa zdrowia publicznego oraz niższe koszty zewnętrzne — przeważają nad nakładami finansowymi.</w:t>
      </w:r>
    </w:p>
    <w:p w14:paraId="239518DA" w14:textId="5BA4C196" w:rsidR="00236628" w:rsidRDefault="00236628" w:rsidP="740354C8">
      <w:pPr>
        <w:pStyle w:val="Zvr"/>
        <w:jc w:val="both"/>
        <w:rPr>
          <w:rFonts w:cs="Calibri Light"/>
          <w:color w:val="333333" w:themeColor="text1"/>
          <w:sz w:val="20"/>
          <w:szCs w:val="20"/>
        </w:rPr>
      </w:pPr>
      <w:r>
        <w:rPr>
          <w:color w:val="333333" w:themeColor="text1"/>
          <w:sz w:val="20"/>
        </w:rPr>
        <w:t xml:space="preserve">Oprócz ograniczenia emisji, badanie podkreśla istotne korzyści dla zdrowia publicznego. </w:t>
      </w:r>
      <w:r>
        <w:rPr>
          <w:b/>
          <w:color w:val="333333" w:themeColor="text1"/>
          <w:sz w:val="20"/>
        </w:rPr>
        <w:t xml:space="preserve">Przejście na bardziej aktywne sposoby transportu, jak chodzenie piechotą i jazda rowerem, może doprowadzić do roku 2050 do skumulowanych </w:t>
      </w:r>
      <w:r>
        <w:rPr>
          <w:b/>
          <w:color w:val="333333" w:themeColor="text1"/>
          <w:sz w:val="20"/>
        </w:rPr>
        <w:lastRenderedPageBreak/>
        <w:t>oszczędności zdrowotnych rzędu nawet 1 170 euro per capita, w ramach korzyści płynących z bardziej aktywnego stylu życia.</w:t>
      </w:r>
      <w:r>
        <w:rPr>
          <w:color w:val="333333" w:themeColor="text1"/>
          <w:sz w:val="20"/>
        </w:rPr>
        <w:t xml:space="preserve"> </w:t>
      </w:r>
      <w:r>
        <w:rPr>
          <w:b/>
          <w:color w:val="333333" w:themeColor="text1"/>
          <w:sz w:val="20"/>
        </w:rPr>
        <w:t>Co więcej, przewiduje się poprawę bezpieczeństwa na drogach, z potencjalnym ograniczeniem śmiertelnych wypadków drogowych o nawet 70% do 2050 roku w wyniku bezpieczniejszej infrastruktury i przyjęciu inteligentnych systemów transportowych.</w:t>
      </w:r>
    </w:p>
    <w:p w14:paraId="7ADF9596" w14:textId="359006E3" w:rsidR="33987231" w:rsidRDefault="33987231" w:rsidP="14EBE808">
      <w:pPr>
        <w:pStyle w:val="Zvr"/>
        <w:jc w:val="both"/>
      </w:pPr>
      <w:r>
        <w:rPr>
          <w:color w:val="333333" w:themeColor="text1"/>
          <w:sz w:val="20"/>
        </w:rPr>
        <w:t xml:space="preserve">Studium podkreśla </w:t>
      </w:r>
      <w:r w:rsidR="00D0694F">
        <w:rPr>
          <w:color w:val="333333" w:themeColor="text1"/>
          <w:sz w:val="20"/>
        </w:rPr>
        <w:t>fakt</w:t>
      </w:r>
      <w:r>
        <w:rPr>
          <w:color w:val="333333" w:themeColor="text1"/>
          <w:sz w:val="20"/>
        </w:rPr>
        <w:t xml:space="preserve">, że niezależnie od cech europejskiego miasta, priorytetyzacja transportu publicznego jest kluczowa dla osiągnięcia sprawiedliwej i zrównoważonej transformacji mobilności miejskiej. Transport publiczny stanowi </w:t>
      </w:r>
      <w:r>
        <w:rPr>
          <w:rFonts w:ascii="Segoe UI" w:hAnsi="Segoe UI"/>
          <w:color w:val="333333" w:themeColor="text1"/>
          <w:sz w:val="18"/>
        </w:rPr>
        <w:t>idealny kompromis między ograniczaniem emisji CO2 a inwestycjami,  ale także jest jedyną inkluzywną opcją mobilności dla wszystkich</w:t>
      </w:r>
      <w:r>
        <w:rPr>
          <w:color w:val="333333" w:themeColor="text1"/>
          <w:sz w:val="20"/>
        </w:rPr>
        <w:t xml:space="preserve"> </w:t>
      </w:r>
      <w:r>
        <w:rPr>
          <w:rFonts w:ascii="Segoe UI" w:hAnsi="Segoe UI"/>
          <w:color w:val="333333" w:themeColor="text1"/>
          <w:sz w:val="18"/>
        </w:rPr>
        <w:t>segmentów populacji</w:t>
      </w:r>
      <w:r>
        <w:rPr>
          <w:color w:val="333333" w:themeColor="text1"/>
          <w:sz w:val="20"/>
        </w:rPr>
        <w:t>. Nawet przy wzięciu pod uwagę kosztów infrastruktury i inwestycji, transport publiczny wyróżnia się</w:t>
      </w:r>
      <w:r>
        <w:rPr>
          <w:rFonts w:ascii="Segoe UI" w:hAnsi="Segoe UI"/>
          <w:color w:val="333333" w:themeColor="text1"/>
          <w:sz w:val="18"/>
        </w:rPr>
        <w:t xml:space="preserve"> jako dostępna finansowo opcja inkluzywnego, ograniczającego emisje CO2, a także jednego z najbardziej realistycznych i praktycznych podejść do realizacji celów Green Deal.</w:t>
      </w:r>
    </w:p>
    <w:p w14:paraId="4C36CEDC" w14:textId="3E5120D8" w:rsidR="003B1516" w:rsidRPr="003B1516" w:rsidRDefault="00E3385F" w:rsidP="08D5C54F">
      <w:pPr>
        <w:pStyle w:val="Zvr"/>
        <w:jc w:val="both"/>
        <w:rPr>
          <w:rFonts w:cs="Calibri Light"/>
          <w:color w:val="333333" w:themeColor="text1"/>
          <w:sz w:val="20"/>
          <w:szCs w:val="20"/>
        </w:rPr>
      </w:pPr>
      <w:r>
        <w:rPr>
          <w:color w:val="333333" w:themeColor="text1"/>
          <w:sz w:val="20"/>
        </w:rPr>
        <w:t xml:space="preserve">W miarę jak Europa śpieszy się, by zrealizować cele klimatyczne, badanie „Koszty i korzyści związane z transformacją mobilności miejskiej" zapewnia kluczową mapę dla decydentów, planistów miejskich oraz interesariuszy, która pomoże im znaleźć drogę wśród leżących przed nimi skomplikowanych wyzwań i możliwości. </w:t>
      </w:r>
      <w:hyperlink r:id="rId11" w:history="1">
        <w:r w:rsidRPr="005139D5">
          <w:rPr>
            <w:rStyle w:val="Hypertextovodkaz"/>
            <w:b/>
            <w:sz w:val="20"/>
          </w:rPr>
          <w:t>Dalsze informacje i pełna wersja badania</w:t>
        </w:r>
        <w:r w:rsidR="00865F40" w:rsidRPr="005139D5">
          <w:rPr>
            <w:rStyle w:val="Hypertextovodkaz"/>
            <w:b/>
            <w:sz w:val="20"/>
          </w:rPr>
          <w:t>.</w:t>
        </w:r>
      </w:hyperlink>
    </w:p>
    <w:p w14:paraId="7F0156C6" w14:textId="77777777" w:rsidR="00865F40" w:rsidRPr="009A5CF2" w:rsidRDefault="00865F40" w:rsidP="00865F40">
      <w:pPr>
        <w:pStyle w:val="Podnadpis"/>
      </w:pPr>
      <w:r>
        <w:t>INFORMACJE PODSTAWOWE</w:t>
      </w:r>
    </w:p>
    <w:p w14:paraId="2F42D97A" w14:textId="649174F4" w:rsidR="00865F40" w:rsidRPr="00865F40" w:rsidRDefault="00865F40" w:rsidP="00865F40">
      <w:pPr>
        <w:jc w:val="both"/>
        <w:rPr>
          <w:rFonts w:cs="Calibri Light"/>
          <w:b/>
          <w:bCs/>
          <w:color w:val="034EA2" w:themeColor="text2"/>
        </w:rPr>
      </w:pPr>
      <w:r>
        <w:rPr>
          <w:b/>
          <w:color w:val="034EA2" w:themeColor="text2"/>
        </w:rPr>
        <w:t>O EIT Urban Mobility</w:t>
      </w:r>
    </w:p>
    <w:p w14:paraId="6F6AC539" w14:textId="3B409A8B" w:rsidR="00865F40" w:rsidRPr="009A5CF2" w:rsidRDefault="00865F40" w:rsidP="00865F40">
      <w:pPr>
        <w:jc w:val="both"/>
        <w:rPr>
          <w:rFonts w:cs="Calibri Light"/>
          <w:color w:val="000000"/>
        </w:rPr>
      </w:pPr>
      <w:r>
        <w:rPr>
          <w:i/>
          <w:iCs/>
        </w:rPr>
        <w:t xml:space="preserve">Celem organizacji EIT Urban Mobility, inicjatywy </w:t>
      </w:r>
      <w:hyperlink r:id="rId12" w:history="1">
        <w:r>
          <w:rPr>
            <w:rStyle w:val="Hypertextovodkaz"/>
            <w:i/>
          </w:rPr>
          <w:t>Europejskiego Instytutu Innowacji i Technologii (EIT)</w:t>
        </w:r>
      </w:hyperlink>
      <w:r>
        <w:rPr>
          <w:i/>
          <w:iCs/>
        </w:rPr>
        <w:t>, będącego organem Unii Europejskiej, jest przyspieszenie rozwiązań i przejścia na zintegrowany oraz rzeczywiście multimodalny system transportowy skoncentrowany na użytkowniku.</w:t>
      </w:r>
      <w:r>
        <w:rPr>
          <w:i/>
        </w:rPr>
        <w:t xml:space="preserve"> Jako przodująca europejska społeczność innowacyjna skoncentrowana na mobilności miejskiej EIT Urban Mobility ma na celu uniknięcie fragmentacji poprzez ułatwianie współpracy między miastami, przemysłem, środowiskiem akademickim, badaniami i innowacjami w celu sprostania najpilniejszym wyzwaniom związanym z mobilnością miejską. Jej partnerzy przemysłowi, badawczy i uniwersyteccy wykorzystują miasta jako żywe laboratoria, aby zademonstrować, w jaki sposób nowe technologie mogą działać w celu rozwiązania rzeczywistych problemów w prawdziwych miastach poprzez inteligentniejszy transport ludzi, towarów i odpadów. </w:t>
      </w:r>
    </w:p>
    <w:p w14:paraId="69D678A7" w14:textId="3875A189" w:rsidR="00865F40" w:rsidRPr="009A5CF2" w:rsidRDefault="00865F40" w:rsidP="00865F40">
      <w:pPr>
        <w:textAlignment w:val="baseline"/>
        <w:rPr>
          <w:rFonts w:cs="Calibri Light"/>
          <w:i/>
          <w:iCs/>
          <w:color w:val="333333"/>
        </w:rPr>
      </w:pPr>
      <w:r>
        <w:rPr>
          <w:b/>
          <w:color w:val="034EA2" w:themeColor="text2"/>
        </w:rPr>
        <w:t>Więcej informacji jest dostępnych na stronie:</w:t>
      </w:r>
      <w:r>
        <w:rPr>
          <w:color w:val="034EA2" w:themeColor="text2"/>
        </w:rPr>
        <w:t xml:space="preserve"> </w:t>
      </w:r>
      <w:hyperlink r:id="rId13" w:history="1">
        <w:r>
          <w:rPr>
            <w:rStyle w:val="Hypertextovodkaz"/>
            <w:i/>
          </w:rPr>
          <w:t>www.eiturbanmobility.eu</w:t>
        </w:r>
      </w:hyperlink>
      <w:r>
        <w:rPr>
          <w:rStyle w:val="Hypertextovodkaz"/>
          <w:i/>
        </w:rPr>
        <w:t>.</w:t>
      </w:r>
      <w:r>
        <w:rPr>
          <w:i/>
          <w:color w:val="333333"/>
        </w:rPr>
        <w:t xml:space="preserve"> </w:t>
      </w:r>
    </w:p>
    <w:p w14:paraId="138B71F2" w14:textId="13C2D2D9" w:rsidR="00865F40" w:rsidRPr="00865F40" w:rsidRDefault="00865F40" w:rsidP="00865F40">
      <w:pPr>
        <w:textAlignment w:val="baseline"/>
        <w:rPr>
          <w:rFonts w:cs="Calibri Light"/>
          <w:b/>
          <w:bCs/>
          <w:color w:val="034EA2" w:themeColor="text2"/>
          <w:sz w:val="40"/>
          <w:szCs w:val="40"/>
        </w:rPr>
      </w:pPr>
      <w:r w:rsidRPr="2C05CE0D">
        <w:rPr>
          <w:b/>
          <w:bCs/>
          <w:color w:val="034EA2" w:themeColor="text2"/>
        </w:rPr>
        <w:t>Obserwuj EIT Urban Mobility:</w:t>
      </w:r>
      <w:r>
        <w:rPr>
          <w:noProof/>
        </w:rPr>
        <w:drawing>
          <wp:inline distT="0" distB="0" distL="0" distR="0" wp14:anchorId="477CF67E" wp14:editId="200929CD">
            <wp:extent cx="190500" cy="190500"/>
            <wp:effectExtent l="0" t="0" r="0" b="0"/>
            <wp:docPr id="7" name="Picture 7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C05CE0D">
        <w:rPr>
          <w:rFonts w:ascii="Tahoma" w:hAnsi="Tahoma"/>
          <w:color w:val="333333" w:themeColor="text1"/>
          <w:sz w:val="40"/>
          <w:szCs w:val="40"/>
        </w:rPr>
        <w:t> </w:t>
      </w:r>
      <w:r>
        <w:rPr>
          <w:noProof/>
        </w:rPr>
        <w:drawing>
          <wp:inline distT="0" distB="0" distL="0" distR="0" wp14:anchorId="1A9551C6" wp14:editId="6D6EEA86">
            <wp:extent cx="180975" cy="180975"/>
            <wp:effectExtent l="0" t="0" r="0" b="0"/>
            <wp:docPr id="30112232" name="Obrázek 30112232" descr="A black and white 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C05CE0D">
        <w:rPr>
          <w:rFonts w:ascii="Tahoma" w:hAnsi="Tahoma"/>
          <w:color w:val="333333" w:themeColor="text1"/>
          <w:sz w:val="40"/>
          <w:szCs w:val="40"/>
        </w:rPr>
        <w:t> </w:t>
      </w:r>
      <w:r>
        <w:rPr>
          <w:noProof/>
        </w:rPr>
        <w:drawing>
          <wp:inline distT="0" distB="0" distL="0" distR="0" wp14:anchorId="53280F77" wp14:editId="42E61A94">
            <wp:extent cx="223837" cy="205184"/>
            <wp:effectExtent l="0" t="0" r="5080" b="4445"/>
            <wp:docPr id="5" name="Picture 5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" cy="20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C05CE0D">
        <w:rPr>
          <w:rFonts w:ascii="Tahoma" w:hAnsi="Tahoma"/>
          <w:color w:val="333333" w:themeColor="text1"/>
          <w:sz w:val="40"/>
          <w:szCs w:val="40"/>
        </w:rPr>
        <w:t> </w:t>
      </w:r>
      <w:r>
        <w:rPr>
          <w:noProof/>
        </w:rPr>
        <w:drawing>
          <wp:inline distT="0" distB="0" distL="0" distR="0" wp14:anchorId="10966B26" wp14:editId="759939F0">
            <wp:extent cx="311655" cy="195898"/>
            <wp:effectExtent l="0" t="0" r="0" b="0"/>
            <wp:docPr id="4" name="Picture 4" descr="A picture containing drawing&#10;&#10;Description automatically generated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55" cy="19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C05CE0D">
        <w:rPr>
          <w:rFonts w:ascii="Tahoma" w:hAnsi="Tahoma"/>
          <w:color w:val="333333" w:themeColor="text1"/>
          <w:sz w:val="40"/>
          <w:szCs w:val="40"/>
        </w:rPr>
        <w:t> </w:t>
      </w:r>
      <w:r>
        <w:rPr>
          <w:noProof/>
        </w:rPr>
        <w:drawing>
          <wp:inline distT="0" distB="0" distL="0" distR="0" wp14:anchorId="1250A1AE" wp14:editId="3A573C7F">
            <wp:extent cx="209550" cy="209550"/>
            <wp:effectExtent l="0" t="0" r="0" b="0"/>
            <wp:docPr id="3" name="Picture 3" descr=" 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C05CE0D">
        <w:rPr>
          <w:rFonts w:ascii="Tahoma" w:hAnsi="Tahoma"/>
          <w:color w:val="333333" w:themeColor="text1"/>
          <w:sz w:val="40"/>
          <w:szCs w:val="40"/>
        </w:rPr>
        <w:t xml:space="preserve"> </w:t>
      </w:r>
    </w:p>
    <w:p w14:paraId="278997CE" w14:textId="77777777" w:rsidR="00865F40" w:rsidRPr="009A5CF2" w:rsidRDefault="00865F40" w:rsidP="00865F40">
      <w:pPr>
        <w:textAlignment w:val="baseline"/>
        <w:rPr>
          <w:rFonts w:cs="Calibri Light"/>
          <w:color w:val="333333"/>
        </w:rPr>
      </w:pPr>
    </w:p>
    <w:p w14:paraId="679F1DDD" w14:textId="77777777" w:rsidR="00865F40" w:rsidRPr="009A5CF2" w:rsidRDefault="00865F40" w:rsidP="00865F40">
      <w:pPr>
        <w:autoSpaceDE w:val="0"/>
        <w:autoSpaceDN w:val="0"/>
        <w:adjustRightInd w:val="0"/>
        <w:rPr>
          <w:rFonts w:cs="Calibri Light"/>
          <w:color w:val="FFFFFF" w:themeColor="background1"/>
        </w:rPr>
      </w:pPr>
      <w:r w:rsidRPr="54637AD7">
        <w:rPr>
          <w:b/>
          <w:bCs/>
          <w:color w:val="FFFFFF" w:themeColor="background1"/>
          <w:shd w:val="clear" w:color="auto" w:fill="034EA2" w:themeFill="text2"/>
        </w:rPr>
        <w:t>Dane kontaktowe dla mediów:</w:t>
      </w:r>
      <w:r w:rsidRPr="54637AD7">
        <w:rPr>
          <w:color w:val="FFFFFF" w:themeColor="background1"/>
        </w:rPr>
        <w:t xml:space="preserve"> </w:t>
      </w:r>
    </w:p>
    <w:p w14:paraId="5E499607" w14:textId="77777777" w:rsidR="00865F40" w:rsidRDefault="00865F40" w:rsidP="00865F40">
      <w:pPr>
        <w:rPr>
          <w:rFonts w:eastAsia="Calibri Light" w:cs="Calibri Light"/>
          <w:color w:val="000000"/>
          <w:szCs w:val="20"/>
        </w:rPr>
      </w:pPr>
      <w:r w:rsidRPr="54637AD7">
        <w:rPr>
          <w:rFonts w:ascii="Calibri Light" w:eastAsia="Calibri Light" w:hAnsi="Calibri Light" w:cs="Calibri Light"/>
          <w:color w:val="000000"/>
          <w:sz w:val="20"/>
          <w:szCs w:val="20"/>
          <w:lang w:val="fr-FR"/>
        </w:rPr>
        <w:t xml:space="preserve">Eliška Bajgarová– Communication &amp; Engagement Officer </w:t>
      </w:r>
    </w:p>
    <w:p w14:paraId="480D7637" w14:textId="75D38D18" w:rsidR="00865F40" w:rsidRDefault="00865F40" w:rsidP="00865F40">
      <w:pPr>
        <w:rPr>
          <w:rFonts w:eastAsia="Calibri Light" w:cs="Calibri Light"/>
          <w:color w:val="000000"/>
          <w:szCs w:val="20"/>
        </w:rPr>
      </w:pPr>
      <w:r w:rsidRPr="54637AD7">
        <w:rPr>
          <w:rFonts w:ascii="Calibri Light" w:eastAsia="Calibri Light" w:hAnsi="Calibri Light" w:cs="Calibri Light"/>
          <w:color w:val="000000"/>
          <w:sz w:val="20"/>
          <w:szCs w:val="20"/>
          <w:lang w:val="fr-FR"/>
        </w:rPr>
        <w:t xml:space="preserve">E: </w:t>
      </w:r>
      <w:hyperlink r:id="rId23">
        <w:r w:rsidRPr="54637AD7">
          <w:rPr>
            <w:rStyle w:val="Hypertextovodkaz"/>
            <w:rFonts w:ascii="Calibri Light" w:eastAsia="Calibri Light" w:hAnsi="Calibri Light" w:cs="Calibri Light"/>
            <w:sz w:val="20"/>
            <w:szCs w:val="20"/>
            <w:lang w:val="fr-FR"/>
          </w:rPr>
          <w:t>eliska.bajgarova@eiturbanmobility.eu</w:t>
        </w:r>
      </w:hyperlink>
      <w:r w:rsidRPr="54637AD7">
        <w:rPr>
          <w:rFonts w:ascii="Calibri Light" w:eastAsia="Calibri Light" w:hAnsi="Calibri Light" w:cs="Calibri Light"/>
          <w:color w:val="000000"/>
          <w:sz w:val="20"/>
          <w:szCs w:val="20"/>
          <w:lang w:val="fr-FR"/>
        </w:rPr>
        <w:t xml:space="preserve"> – T: + 420 603 885</w:t>
      </w:r>
      <w:r>
        <w:rPr>
          <w:rFonts w:ascii="Calibri Light" w:eastAsia="Calibri Light" w:hAnsi="Calibri Light" w:cs="Calibri Light"/>
          <w:color w:val="000000"/>
          <w:sz w:val="20"/>
          <w:szCs w:val="20"/>
          <w:lang w:val="fr-FR"/>
        </w:rPr>
        <w:t> </w:t>
      </w:r>
      <w:r w:rsidRPr="54637AD7">
        <w:rPr>
          <w:rFonts w:ascii="Calibri Light" w:eastAsia="Calibri Light" w:hAnsi="Calibri Light" w:cs="Calibri Light"/>
          <w:color w:val="000000"/>
          <w:sz w:val="20"/>
          <w:szCs w:val="20"/>
          <w:lang w:val="fr-FR"/>
        </w:rPr>
        <w:t>535</w:t>
      </w:r>
    </w:p>
    <w:p w14:paraId="0B66E369" w14:textId="750FECEE" w:rsidR="00367D74" w:rsidRPr="006E72DE" w:rsidRDefault="00367D74" w:rsidP="00865F40">
      <w:pPr>
        <w:pStyle w:val="Podnadpis"/>
      </w:pPr>
    </w:p>
    <w:sectPr w:rsidR="00367D74" w:rsidRPr="006E72DE" w:rsidSect="00736E35">
      <w:headerReference w:type="default" r:id="rId24"/>
      <w:footerReference w:type="default" r:id="rId25"/>
      <w:headerReference w:type="first" r:id="rId26"/>
      <w:footerReference w:type="first" r:id="rId27"/>
      <w:pgSz w:w="11900" w:h="16840"/>
      <w:pgMar w:top="2693" w:right="1077" w:bottom="2552" w:left="1134" w:header="68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39CB7" w14:textId="77777777" w:rsidR="00A168EA" w:rsidRDefault="00A168EA" w:rsidP="00F5755D">
      <w:r>
        <w:separator/>
      </w:r>
    </w:p>
  </w:endnote>
  <w:endnote w:type="continuationSeparator" w:id="0">
    <w:p w14:paraId="5E1883F7" w14:textId="77777777" w:rsidR="00A168EA" w:rsidRDefault="00A168EA" w:rsidP="00F5755D">
      <w:r>
        <w:continuationSeparator/>
      </w:r>
    </w:p>
  </w:endnote>
  <w:endnote w:type="continuationNotice" w:id="1">
    <w:p w14:paraId="1AF82BB9" w14:textId="77777777" w:rsidR="00A168EA" w:rsidRDefault="00A168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LightItalic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CDE5C" w14:textId="77777777" w:rsidR="00323F79" w:rsidRDefault="00323F79" w:rsidP="00CD0819">
    <w:pPr>
      <w:jc w:val="right"/>
      <w:rPr>
        <w:rFonts w:asciiTheme="majorHAnsi" w:eastAsiaTheme="majorEastAsia" w:hAnsiTheme="majorHAnsi" w:cstheme="majorBidi"/>
      </w:rPr>
    </w:pPr>
    <w:r>
      <w:rPr>
        <w:rFonts w:asciiTheme="majorHAnsi" w:hAnsiTheme="majorHAnsi"/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F313120" wp14:editId="3D364F8C">
              <wp:simplePos x="0" y="0"/>
              <wp:positionH relativeFrom="margin">
                <wp:posOffset>2982666</wp:posOffset>
              </wp:positionH>
              <wp:positionV relativeFrom="bottomMargin">
                <wp:posOffset>748452</wp:posOffset>
              </wp:positionV>
              <wp:extent cx="338666" cy="349533"/>
              <wp:effectExtent l="0" t="0" r="4445" b="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8666" cy="349533"/>
                      </a:xfrm>
                      <a:prstGeom prst="ellipse">
                        <a:avLst/>
                      </a:prstGeom>
                      <a:solidFill>
                        <a:srgbClr val="034EA2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87A64F" w14:textId="77777777" w:rsidR="00323F79" w:rsidRPr="00323F79" w:rsidRDefault="00323F79">
                          <w:pPr>
                            <w:pStyle w:val="Zpat"/>
                            <w:jc w:val="center"/>
                            <w:rPr>
                              <w:rFonts w:ascii="Titillium" w:hAnsi="Titillium"/>
                              <w:b/>
                              <w:bCs/>
                              <w:color w:val="FFFFFF" w:themeColor="background1"/>
                            </w:rPr>
                          </w:pPr>
                          <w:r w:rsidRPr="00323F79">
                            <w:rPr>
                              <w:rFonts w:ascii="Titillium" w:hAnsi="Titillium"/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 w:rsidRPr="00323F79">
                            <w:rPr>
                              <w:rFonts w:ascii="Titillium" w:hAnsi="Titillium"/>
                            </w:rPr>
                            <w:instrText xml:space="preserve"> PAGE    \* MERGEFORMAT </w:instrText>
                          </w:r>
                          <w:r w:rsidRPr="00323F79">
                            <w:rPr>
                              <w:rFonts w:ascii="Titillium" w:hAnsi="Titillium"/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Pr="00323F79">
                            <w:rPr>
                              <w:rFonts w:ascii="Titillium" w:hAnsi="Titillium"/>
                              <w:b/>
                              <w:color w:val="FFFFFF" w:themeColor="background1"/>
                            </w:rPr>
                            <w:t>2</w:t>
                          </w:r>
                          <w:r w:rsidRPr="00323F79">
                            <w:rPr>
                              <w:rFonts w:ascii="Titillium" w:hAnsi="Titillium"/>
                              <w:b/>
                              <w:color w:val="FFFFFF" w:themeColor="background1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F313120" id="Oval 2" o:spid="_x0000_s1027" style="position:absolute;left:0;text-align:left;margin-left:234.85pt;margin-top:58.95pt;width:26.65pt;height:27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" fillcolor="#034ea2" stroked="f">
              <v:textbox>
                <w:txbxContent>
                  <w:p w14:paraId="2E87A64F" w14:textId="77777777" w:rsidR="00323F79" w:rsidRPr="00323F79" w:rsidRDefault="00323F79">
                    <w:pPr>
                      <w:pStyle w:val="Zpat"/>
                      <w:jc w:val="center"/>
                      <w:rPr>
                        <w:rFonts w:ascii="Titillium" w:hAnsi="Titillium"/>
                        <w:b/>
                        <w:bCs/>
                        <w:color w:val="FFFFFF" w:themeColor="background1"/>
                      </w:rPr>
                    </w:pPr>
                    <w:r w:rsidRPr="00323F79">
                      <w:rPr>
                        <w:rFonts w:ascii="Titillium" w:hAnsi="Titillium"/>
                        <w:color w:val="2B579A"/>
                        <w:shd w:val="clear" w:color="auto" w:fill="E6E6E6"/>
                      </w:rPr>
                      <w:fldChar w:fldCharType="begin"/>
                    </w:r>
                    <w:r w:rsidRPr="00323F79">
                      <w:rPr>
                        <w:rFonts w:ascii="Titillium" w:hAnsi="Titillium"/>
                      </w:rPr>
                      <w:instrText xml:space="preserve"> PAGE    \* MERGEFORMAT </w:instrText>
                    </w:r>
                    <w:r w:rsidRPr="00323F79">
                      <w:rPr>
                        <w:rFonts w:ascii="Titillium" w:hAnsi="Titillium"/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Pr="00323F79">
                      <w:rPr>
                        <w:rFonts w:ascii="Titillium" w:hAnsi="Titillium"/>
                        <w:b/>
                        <w:color w:val="FFFFFF" w:themeColor="background1"/>
                      </w:rPr>
                      <w:t>2</w:t>
                    </w:r>
                    <w:r w:rsidRPr="00323F79">
                      <w:rPr>
                        <w:rFonts w:ascii="Titillium" w:hAnsi="Titillium"/>
                        <w:b/>
                        <w:color w:val="FFFFFF" w:themeColor="background1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sdt>
      <w:sdtPr>
        <w:rPr>
          <w:rFonts w:asciiTheme="majorHAnsi" w:eastAsiaTheme="majorEastAsia" w:hAnsiTheme="majorHAnsi" w:cstheme="majorBidi"/>
          <w:color w:val="2B579A"/>
          <w:shd w:val="clear" w:color="auto" w:fill="E6E6E6"/>
        </w:rPr>
        <w:id w:val="1939711516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ajorHAnsi" w:eastAsiaTheme="majorEastAsia" w:hAnsiTheme="majorHAnsi" w:cstheme="majorBidi"/>
              <w:color w:val="2B579A"/>
              <w:shd w:val="clear" w:color="auto" w:fill="E6E6E6"/>
            </w:rPr>
            <w:id w:val="1806425445"/>
            <w:docPartObj>
              <w:docPartGallery w:val="Page Numbers (Margins)"/>
              <w:docPartUnique/>
            </w:docPartObj>
          </w:sdtPr>
          <w:sdtContent/>
        </w:sdt>
      </w:sdtContent>
    </w:sdt>
  </w:p>
  <w:p w14:paraId="07FB168A" w14:textId="77777777" w:rsidR="00F5755D" w:rsidRDefault="002B6246" w:rsidP="00EE7972">
    <w:pPr>
      <w:pStyle w:val="Zpat"/>
      <w:jc w:val="right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3" behindDoc="1" locked="0" layoutInCell="1" allowOverlap="1" wp14:anchorId="67968D2B" wp14:editId="15B28643">
          <wp:simplePos x="0" y="0"/>
          <wp:positionH relativeFrom="column">
            <wp:posOffset>5895975</wp:posOffset>
          </wp:positionH>
          <wp:positionV relativeFrom="paragraph">
            <wp:posOffset>1056640</wp:posOffset>
          </wp:positionV>
          <wp:extent cx="1438275" cy="584200"/>
          <wp:effectExtent l="0" t="0" r="9525" b="0"/>
          <wp:wrapTight wrapText="bothSides">
            <wp:wrapPolygon edited="0">
              <wp:start x="12302" y="1409"/>
              <wp:lineTo x="3147" y="5635"/>
              <wp:lineTo x="1144" y="7748"/>
              <wp:lineTo x="1144" y="14791"/>
              <wp:lineTo x="11158" y="17609"/>
              <wp:lineTo x="12302" y="19017"/>
              <wp:lineTo x="21457" y="19017"/>
              <wp:lineTo x="21457" y="1409"/>
              <wp:lineTo x="12302" y="1409"/>
            </wp:wrapPolygon>
          </wp:wrapTight>
          <wp:docPr id="21" name="Picture 21">
            <a:extLst xmlns:a="http://schemas.openxmlformats.org/drawingml/2006/main">
              <a:ext uri="{FF2B5EF4-FFF2-40B4-BE49-F238E27FC236}">
                <a16:creationId xmlns:a16="http://schemas.microsoft.com/office/drawing/2014/main" id="{BDAEC58D-5495-4DFC-870B-8FBE60E50E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BDAEC58D-5495-4DFC-870B-8FBE60E50E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64668"/>
                  <a:stretch/>
                </pic:blipFill>
                <pic:spPr>
                  <a:xfrm>
                    <a:off x="0" y="0"/>
                    <a:ext cx="1438275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9EC3F" w14:textId="77777777" w:rsidR="00D03E3C" w:rsidRDefault="00CD0819" w:rsidP="00CD0819">
    <w:pPr>
      <w:pStyle w:val="Zpat"/>
      <w:jc w:val="right"/>
    </w:pPr>
    <w:r>
      <w:rPr>
        <w:noProof/>
        <w:color w:val="2B579A"/>
        <w:shd w:val="clear" w:color="auto" w:fill="E6E6E6"/>
      </w:rPr>
      <w:drawing>
        <wp:inline distT="0" distB="0" distL="0" distR="0" wp14:anchorId="3E8F86D9" wp14:editId="2334FDC3">
          <wp:extent cx="931951" cy="378460"/>
          <wp:effectExtent l="0" t="0" r="1905" b="0"/>
          <wp:docPr id="23" name="Picture 7">
            <a:extLst xmlns:a="http://schemas.openxmlformats.org/drawingml/2006/main">
              <a:ext uri="{FF2B5EF4-FFF2-40B4-BE49-F238E27FC236}">
                <a16:creationId xmlns:a16="http://schemas.microsoft.com/office/drawing/2014/main" id="{BDAEC58D-5495-4DFC-870B-8FBE60E50E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BDAEC58D-5495-4DFC-870B-8FBE60E50E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64668"/>
                  <a:stretch/>
                </pic:blipFill>
                <pic:spPr>
                  <a:xfrm>
                    <a:off x="0" y="0"/>
                    <a:ext cx="944864" cy="383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42F7EDE4" wp14:editId="3C6E2BAE">
          <wp:simplePos x="0" y="0"/>
          <wp:positionH relativeFrom="page">
            <wp:posOffset>4231640</wp:posOffset>
          </wp:positionH>
          <wp:positionV relativeFrom="page">
            <wp:posOffset>7619365</wp:posOffset>
          </wp:positionV>
          <wp:extent cx="3945600" cy="3942000"/>
          <wp:effectExtent l="38100" t="0" r="36195" b="2002155"/>
          <wp:wrapNone/>
          <wp:docPr id="2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0mm-Grey-Community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5600" cy="3942000"/>
                  </a:xfrm>
                  <a:prstGeom prst="rect">
                    <a:avLst/>
                  </a:prstGeom>
                  <a:effectLst>
                    <a:glow>
                      <a:schemeClr val="accent1">
                        <a:alpha val="71000"/>
                      </a:schemeClr>
                    </a:glow>
                    <a:reflection blurRad="38100" stA="3000" endPos="65000" dist="508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0E08E" w14:textId="77777777" w:rsidR="00A168EA" w:rsidRDefault="00A168EA" w:rsidP="00F5755D">
      <w:r>
        <w:separator/>
      </w:r>
    </w:p>
  </w:footnote>
  <w:footnote w:type="continuationSeparator" w:id="0">
    <w:p w14:paraId="1ADDD168" w14:textId="77777777" w:rsidR="00A168EA" w:rsidRDefault="00A168EA" w:rsidP="00F5755D">
      <w:r>
        <w:continuationSeparator/>
      </w:r>
    </w:p>
  </w:footnote>
  <w:footnote w:type="continuationNotice" w:id="1">
    <w:p w14:paraId="746993F6" w14:textId="77777777" w:rsidR="00A168EA" w:rsidRDefault="00A168EA"/>
  </w:footnote>
  <w:footnote w:id="2">
    <w:p w14:paraId="4E6C703F" w14:textId="3F79D611" w:rsidR="39DDCA69" w:rsidRPr="008313F8" w:rsidRDefault="39DDCA69" w:rsidP="39DDCA69">
      <w:pPr>
        <w:pStyle w:val="Textpoznpodarou"/>
      </w:pPr>
      <w:r>
        <w:rPr>
          <w:rStyle w:val="Znakapoznpodarou"/>
        </w:rPr>
        <w:footnoteRef/>
      </w:r>
      <w:r>
        <w:t xml:space="preserve"> K</w:t>
      </w:r>
      <w:r>
        <w:rPr>
          <w:rFonts w:ascii="Segoe UI" w:hAnsi="Segoe UI"/>
          <w:color w:val="333333" w:themeColor="text1"/>
          <w:sz w:val="18"/>
        </w:rPr>
        <w:t>oszty skumulowane są w latach 2022–2050, dla wszystkich miast UE powyżej 50 tys. mieszkańców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66085" w14:textId="77777777" w:rsidR="00F5755D" w:rsidRDefault="00D418F0">
    <w:pPr>
      <w:pStyle w:val="Zhlav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4" behindDoc="1" locked="0" layoutInCell="0" allowOverlap="1" wp14:anchorId="272481CE" wp14:editId="3E947E73">
              <wp:simplePos x="0" y="0"/>
              <wp:positionH relativeFrom="margin">
                <wp:align>right</wp:align>
              </wp:positionH>
              <wp:positionV relativeFrom="paragraph">
                <wp:posOffset>270510</wp:posOffset>
              </wp:positionV>
              <wp:extent cx="2472690" cy="4476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2690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8E829B" w14:textId="77777777" w:rsidR="00D418F0" w:rsidRPr="0079651A" w:rsidRDefault="00D418F0" w:rsidP="00D418F0">
                          <w:pPr>
                            <w:shd w:val="clear" w:color="auto" w:fill="034EA2" w:themeFill="text2"/>
                            <w:spacing w:line="276" w:lineRule="auto"/>
                            <w:jc w:val="center"/>
                            <w:rPr>
                              <w:rFonts w:cs="Calibri Light"/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2"/>
                            </w:rPr>
                            <w:t>INFORMACJA PRASOWA</w:t>
                          </w:r>
                        </w:p>
                        <w:p w14:paraId="1B3570B1" w14:textId="77777777" w:rsidR="00D418F0" w:rsidRPr="00FB795B" w:rsidRDefault="00D418F0" w:rsidP="00D418F0">
                          <w:pPr>
                            <w:spacing w:line="360" w:lineRule="auto"/>
                            <w:jc w:val="right"/>
                            <w:rPr>
                              <w:rFonts w:cs="Calibri Light"/>
                            </w:rPr>
                          </w:pPr>
                          <w: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2481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3.5pt;margin-top:21.3pt;width:194.7pt;height:35.25pt;z-index:-2516582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" o:allowincell="f" filled="f" stroked="f">
              <v:textbox>
                <w:txbxContent>
                  <w:p w14:paraId="698E829B" w14:textId="77777777" w:rsidR="00D418F0" w:rsidRPr="0079651A" w:rsidRDefault="00D418F0" w:rsidP="00D418F0">
                    <w:pPr>
                      <w:shd w:val="clear" w:color="auto" w:fill="034EA2" w:themeFill="text2"/>
                      <w:spacing w:line="276" w:lineRule="auto"/>
                      <w:jc w:val="center"/>
                      <w:rPr>
                        <w:rFonts w:cs="Calibri Light"/>
                        <w:b/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b/>
                        <w:color w:val="FFFFFF"/>
                        <w:sz w:val="32"/>
                      </w:rPr>
                      <w:t>INFORMACJA PRASOWA</w:t>
                    </w:r>
                  </w:p>
                  <w:p w14:paraId="1B3570B1" w14:textId="77777777" w:rsidR="00D418F0" w:rsidRPr="00FB795B" w:rsidRDefault="00D418F0" w:rsidP="00D418F0">
                    <w:pPr>
                      <w:spacing w:line="360" w:lineRule="auto"/>
                      <w:jc w:val="right"/>
                      <w:rPr>
                        <w:rFonts w:cs="Calibri Light"/>
                      </w:rPr>
                    </w:pPr>
                    <w:r>
                      <w:t xml:space="preserve">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2B579A"/>
        <w:shd w:val="clear" w:color="auto" w:fill="E6E6E6"/>
      </w:rPr>
      <w:drawing>
        <wp:inline distT="0" distB="0" distL="0" distR="0" wp14:anchorId="61C3C79C" wp14:editId="2ECD909A">
          <wp:extent cx="1692000" cy="828000"/>
          <wp:effectExtent l="0" t="0" r="3810" b="0"/>
          <wp:docPr id="18" name="Picture 1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0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E817F" w14:textId="77777777" w:rsidR="00B456DD" w:rsidRPr="00A948D0" w:rsidRDefault="00B456DD" w:rsidP="00B456DD">
    <w:pPr>
      <w:pStyle w:val="CELTICTitl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120"/>
      <w:ind w:right="-2"/>
      <w:jc w:val="right"/>
      <w:rPr>
        <w:rFonts w:ascii="Calibri Light" w:hAnsi="Calibri Light" w:cs="Calibri Light"/>
        <w:color w:val="auto"/>
        <w:sz w:val="20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7CD5716F" wp14:editId="236D98E6">
          <wp:simplePos x="0" y="0"/>
          <wp:positionH relativeFrom="margin">
            <wp:align>left</wp:align>
          </wp:positionH>
          <wp:positionV relativeFrom="page">
            <wp:posOffset>535940</wp:posOffset>
          </wp:positionV>
          <wp:extent cx="2623820" cy="705485"/>
          <wp:effectExtent l="0" t="0" r="5080" b="0"/>
          <wp:wrapTight wrapText="bothSides">
            <wp:wrapPolygon edited="0">
              <wp:start x="0" y="0"/>
              <wp:lineTo x="0" y="20997"/>
              <wp:lineTo x="21485" y="20997"/>
              <wp:lineTo x="21485" y="0"/>
              <wp:lineTo x="0" y="0"/>
            </wp:wrapPolygon>
          </wp:wrapTight>
          <wp:docPr id="22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T-Urban Mobility_baix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820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BAE8A3" w14:textId="77777777" w:rsidR="00D03E3C" w:rsidRPr="00E04F25" w:rsidRDefault="00D03E3C">
    <w:pPr>
      <w:pStyle w:val="Zhlav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928" w:hanging="360"/>
      </w:pPr>
      <w:rPr>
        <w:rFonts w:ascii="Calibri Light" w:hAnsi="Calibri Light" w:cs="Calibri Light" w:hint="default"/>
        <w:b w:val="0"/>
        <w:strike w:val="0"/>
        <w:dstrike w:val="0"/>
        <w:color w:val="333333"/>
        <w:sz w:val="22"/>
        <w:szCs w:val="21"/>
        <w:u w:val="none"/>
        <w:effect w:val="none"/>
        <w:lang w:val="fr-FR"/>
      </w:rPr>
    </w:lvl>
  </w:abstractNum>
  <w:abstractNum w:abstractNumId="1" w15:restartNumberingAfterBreak="0">
    <w:nsid w:val="03876FE1"/>
    <w:multiLevelType w:val="hybridMultilevel"/>
    <w:tmpl w:val="9658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1DD"/>
    <w:multiLevelType w:val="hybridMultilevel"/>
    <w:tmpl w:val="744634CC"/>
    <w:lvl w:ilvl="0" w:tplc="9AD2D7CE">
      <w:start w:val="2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BF0F7E"/>
    <w:multiLevelType w:val="hybridMultilevel"/>
    <w:tmpl w:val="2C763334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46149"/>
    <w:multiLevelType w:val="hybridMultilevel"/>
    <w:tmpl w:val="77DA5F2A"/>
    <w:lvl w:ilvl="0" w:tplc="FA1A3F9E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B54A8"/>
    <w:multiLevelType w:val="hybridMultilevel"/>
    <w:tmpl w:val="D102C4A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6C36B54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B5543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77209"/>
    <w:multiLevelType w:val="hybridMultilevel"/>
    <w:tmpl w:val="232822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D3FFF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213D8"/>
    <w:multiLevelType w:val="hybridMultilevel"/>
    <w:tmpl w:val="176C1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80F0C"/>
    <w:multiLevelType w:val="hybridMultilevel"/>
    <w:tmpl w:val="F1DA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C2F6B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C696C"/>
    <w:multiLevelType w:val="hybridMultilevel"/>
    <w:tmpl w:val="4184F126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4B157A"/>
    <w:multiLevelType w:val="hybridMultilevel"/>
    <w:tmpl w:val="4C9A1CA8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815738"/>
    <w:multiLevelType w:val="hybridMultilevel"/>
    <w:tmpl w:val="9BA6C1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931EC"/>
    <w:multiLevelType w:val="hybridMultilevel"/>
    <w:tmpl w:val="12A0E5CA"/>
    <w:lvl w:ilvl="0" w:tplc="65E69F74">
      <w:start w:val="5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A2B42"/>
    <w:multiLevelType w:val="hybridMultilevel"/>
    <w:tmpl w:val="6E32D11A"/>
    <w:lvl w:ilvl="0" w:tplc="DAA8E5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A6258"/>
    <w:multiLevelType w:val="hybridMultilevel"/>
    <w:tmpl w:val="1AFED3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7558A"/>
    <w:multiLevelType w:val="hybridMultilevel"/>
    <w:tmpl w:val="987EC9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DFC6836"/>
    <w:multiLevelType w:val="hybridMultilevel"/>
    <w:tmpl w:val="6486C8D2"/>
    <w:lvl w:ilvl="0" w:tplc="DB481540">
      <w:start w:val="1"/>
      <w:numFmt w:val="bullet"/>
      <w:lvlText w:val="•"/>
      <w:lvlJc w:val="left"/>
      <w:pPr>
        <w:ind w:left="1260" w:hanging="360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078189C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E7FD3"/>
    <w:multiLevelType w:val="hybridMultilevel"/>
    <w:tmpl w:val="BEA2F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96D7E"/>
    <w:multiLevelType w:val="hybridMultilevel"/>
    <w:tmpl w:val="A4025D88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F3669A"/>
    <w:multiLevelType w:val="hybridMultilevel"/>
    <w:tmpl w:val="019C1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34B09"/>
    <w:multiLevelType w:val="hybridMultilevel"/>
    <w:tmpl w:val="3D461F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26124"/>
    <w:multiLevelType w:val="hybridMultilevel"/>
    <w:tmpl w:val="1BFE504E"/>
    <w:lvl w:ilvl="0" w:tplc="56AEC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377D7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71E28"/>
    <w:multiLevelType w:val="hybridMultilevel"/>
    <w:tmpl w:val="454615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189024">
    <w:abstractNumId w:val="16"/>
  </w:num>
  <w:num w:numId="2" w16cid:durableId="63264157">
    <w:abstractNumId w:val="13"/>
  </w:num>
  <w:num w:numId="3" w16cid:durableId="1775445020">
    <w:abstractNumId w:val="3"/>
  </w:num>
  <w:num w:numId="4" w16cid:durableId="51002732">
    <w:abstractNumId w:val="14"/>
  </w:num>
  <w:num w:numId="5" w16cid:durableId="861357631">
    <w:abstractNumId w:val="23"/>
  </w:num>
  <w:num w:numId="6" w16cid:durableId="1853179083">
    <w:abstractNumId w:val="28"/>
  </w:num>
  <w:num w:numId="7" w16cid:durableId="1757052876">
    <w:abstractNumId w:val="25"/>
  </w:num>
  <w:num w:numId="8" w16cid:durableId="1622607838">
    <w:abstractNumId w:val="18"/>
  </w:num>
  <w:num w:numId="9" w16cid:durableId="1736977490">
    <w:abstractNumId w:val="22"/>
  </w:num>
  <w:num w:numId="10" w16cid:durableId="146439190">
    <w:abstractNumId w:val="15"/>
  </w:num>
  <w:num w:numId="11" w16cid:durableId="403994723">
    <w:abstractNumId w:val="24"/>
  </w:num>
  <w:num w:numId="12" w16cid:durableId="800457914">
    <w:abstractNumId w:val="8"/>
  </w:num>
  <w:num w:numId="13" w16cid:durableId="1357199714">
    <w:abstractNumId w:val="10"/>
  </w:num>
  <w:num w:numId="14" w16cid:durableId="418647149">
    <w:abstractNumId w:val="17"/>
  </w:num>
  <w:num w:numId="15" w16cid:durableId="430392711">
    <w:abstractNumId w:val="26"/>
  </w:num>
  <w:num w:numId="16" w16cid:durableId="1546063785">
    <w:abstractNumId w:val="1"/>
  </w:num>
  <w:num w:numId="17" w16cid:durableId="1278412107">
    <w:abstractNumId w:val="11"/>
  </w:num>
  <w:num w:numId="18" w16cid:durableId="556859521">
    <w:abstractNumId w:val="4"/>
  </w:num>
  <w:num w:numId="19" w16cid:durableId="13899626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524308">
    <w:abstractNumId w:val="20"/>
  </w:num>
  <w:num w:numId="21" w16cid:durableId="11349033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356498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2520148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687456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37927757">
    <w:abstractNumId w:val="5"/>
  </w:num>
  <w:num w:numId="26" w16cid:durableId="914242944">
    <w:abstractNumId w:val="2"/>
  </w:num>
  <w:num w:numId="27" w16cid:durableId="18662889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43911902">
    <w:abstractNumId w:val="19"/>
  </w:num>
  <w:num w:numId="29" w16cid:durableId="2009867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9"/>
    <w:docVar w:name="OpenInPublishingView" w:val="0"/>
  </w:docVars>
  <w:rsids>
    <w:rsidRoot w:val="00E3385F"/>
    <w:rsid w:val="00012236"/>
    <w:rsid w:val="00015818"/>
    <w:rsid w:val="000211F5"/>
    <w:rsid w:val="00030301"/>
    <w:rsid w:val="00031993"/>
    <w:rsid w:val="00032DFF"/>
    <w:rsid w:val="00040E24"/>
    <w:rsid w:val="00045E62"/>
    <w:rsid w:val="00057B78"/>
    <w:rsid w:val="000653F9"/>
    <w:rsid w:val="00066385"/>
    <w:rsid w:val="000713DB"/>
    <w:rsid w:val="00075F88"/>
    <w:rsid w:val="000829A1"/>
    <w:rsid w:val="000D7C8C"/>
    <w:rsid w:val="000E62BA"/>
    <w:rsid w:val="000E6E76"/>
    <w:rsid w:val="000F194F"/>
    <w:rsid w:val="00102CA4"/>
    <w:rsid w:val="00103782"/>
    <w:rsid w:val="00114404"/>
    <w:rsid w:val="00131283"/>
    <w:rsid w:val="00131F0E"/>
    <w:rsid w:val="001347BE"/>
    <w:rsid w:val="00161B26"/>
    <w:rsid w:val="0017621E"/>
    <w:rsid w:val="00176670"/>
    <w:rsid w:val="00183788"/>
    <w:rsid w:val="00186618"/>
    <w:rsid w:val="00186972"/>
    <w:rsid w:val="001968A9"/>
    <w:rsid w:val="001A071C"/>
    <w:rsid w:val="001A5025"/>
    <w:rsid w:val="001A6058"/>
    <w:rsid w:val="001A6064"/>
    <w:rsid w:val="001C1BC9"/>
    <w:rsid w:val="001C5E5E"/>
    <w:rsid w:val="001E0D45"/>
    <w:rsid w:val="001E11BF"/>
    <w:rsid w:val="001F5F1A"/>
    <w:rsid w:val="00201AD2"/>
    <w:rsid w:val="00207344"/>
    <w:rsid w:val="00220253"/>
    <w:rsid w:val="002265EA"/>
    <w:rsid w:val="0023489B"/>
    <w:rsid w:val="00235AA2"/>
    <w:rsid w:val="00236628"/>
    <w:rsid w:val="00244112"/>
    <w:rsid w:val="00255BC8"/>
    <w:rsid w:val="00257F1F"/>
    <w:rsid w:val="002647AE"/>
    <w:rsid w:val="002A1DBE"/>
    <w:rsid w:val="002B0631"/>
    <w:rsid w:val="002B064C"/>
    <w:rsid w:val="002B0F22"/>
    <w:rsid w:val="002B3F39"/>
    <w:rsid w:val="002B6246"/>
    <w:rsid w:val="002B7D1F"/>
    <w:rsid w:val="002E1EEC"/>
    <w:rsid w:val="002E4C04"/>
    <w:rsid w:val="002F4A14"/>
    <w:rsid w:val="00310999"/>
    <w:rsid w:val="00323F79"/>
    <w:rsid w:val="00333199"/>
    <w:rsid w:val="003415E0"/>
    <w:rsid w:val="003500F8"/>
    <w:rsid w:val="00363E41"/>
    <w:rsid w:val="003666F7"/>
    <w:rsid w:val="00367D74"/>
    <w:rsid w:val="003751A0"/>
    <w:rsid w:val="003A04DF"/>
    <w:rsid w:val="003A735B"/>
    <w:rsid w:val="003B1516"/>
    <w:rsid w:val="003B48F4"/>
    <w:rsid w:val="003C0A7F"/>
    <w:rsid w:val="003D1A6C"/>
    <w:rsid w:val="003E101B"/>
    <w:rsid w:val="003F32A7"/>
    <w:rsid w:val="00413B9D"/>
    <w:rsid w:val="004260A3"/>
    <w:rsid w:val="00430A69"/>
    <w:rsid w:val="00430ECB"/>
    <w:rsid w:val="00431BF5"/>
    <w:rsid w:val="00460486"/>
    <w:rsid w:val="00461B45"/>
    <w:rsid w:val="00464746"/>
    <w:rsid w:val="00482DC5"/>
    <w:rsid w:val="004860DE"/>
    <w:rsid w:val="00490375"/>
    <w:rsid w:val="0049046F"/>
    <w:rsid w:val="004A2228"/>
    <w:rsid w:val="004A2B83"/>
    <w:rsid w:val="004A3721"/>
    <w:rsid w:val="004A47E5"/>
    <w:rsid w:val="004A6C43"/>
    <w:rsid w:val="004A76AA"/>
    <w:rsid w:val="004D007D"/>
    <w:rsid w:val="00510C58"/>
    <w:rsid w:val="005139D5"/>
    <w:rsid w:val="0052516A"/>
    <w:rsid w:val="00584A8E"/>
    <w:rsid w:val="005858FF"/>
    <w:rsid w:val="00591406"/>
    <w:rsid w:val="005965B5"/>
    <w:rsid w:val="005A023F"/>
    <w:rsid w:val="005A2529"/>
    <w:rsid w:val="005A3256"/>
    <w:rsid w:val="005A4B19"/>
    <w:rsid w:val="005B43CC"/>
    <w:rsid w:val="005C103D"/>
    <w:rsid w:val="005C7B0C"/>
    <w:rsid w:val="005E614C"/>
    <w:rsid w:val="00603818"/>
    <w:rsid w:val="00605A81"/>
    <w:rsid w:val="00623356"/>
    <w:rsid w:val="00627BF3"/>
    <w:rsid w:val="00640927"/>
    <w:rsid w:val="00652F62"/>
    <w:rsid w:val="00653A64"/>
    <w:rsid w:val="0066620F"/>
    <w:rsid w:val="006710B5"/>
    <w:rsid w:val="00671C87"/>
    <w:rsid w:val="00681EE2"/>
    <w:rsid w:val="00683159"/>
    <w:rsid w:val="006A0296"/>
    <w:rsid w:val="006A48C7"/>
    <w:rsid w:val="006C4189"/>
    <w:rsid w:val="006C5205"/>
    <w:rsid w:val="006D02BF"/>
    <w:rsid w:val="006E72DE"/>
    <w:rsid w:val="006F111C"/>
    <w:rsid w:val="006F18E9"/>
    <w:rsid w:val="006F3BD1"/>
    <w:rsid w:val="006F5EF3"/>
    <w:rsid w:val="006F63AC"/>
    <w:rsid w:val="007043BB"/>
    <w:rsid w:val="007215F8"/>
    <w:rsid w:val="00722005"/>
    <w:rsid w:val="00722CB7"/>
    <w:rsid w:val="00736E35"/>
    <w:rsid w:val="00737EE6"/>
    <w:rsid w:val="007427BB"/>
    <w:rsid w:val="007443AE"/>
    <w:rsid w:val="007473FD"/>
    <w:rsid w:val="007651D6"/>
    <w:rsid w:val="00782028"/>
    <w:rsid w:val="007823B0"/>
    <w:rsid w:val="00793797"/>
    <w:rsid w:val="007A1BC4"/>
    <w:rsid w:val="007C123E"/>
    <w:rsid w:val="007D2528"/>
    <w:rsid w:val="007E6649"/>
    <w:rsid w:val="007F32A5"/>
    <w:rsid w:val="00813613"/>
    <w:rsid w:val="00816552"/>
    <w:rsid w:val="008207EE"/>
    <w:rsid w:val="008313F8"/>
    <w:rsid w:val="00833E0D"/>
    <w:rsid w:val="00836DE6"/>
    <w:rsid w:val="008372F6"/>
    <w:rsid w:val="00865F40"/>
    <w:rsid w:val="00882716"/>
    <w:rsid w:val="00885DEC"/>
    <w:rsid w:val="00886939"/>
    <w:rsid w:val="00896813"/>
    <w:rsid w:val="008A1045"/>
    <w:rsid w:val="008A1370"/>
    <w:rsid w:val="008B7F0A"/>
    <w:rsid w:val="008C626B"/>
    <w:rsid w:val="008D2EF8"/>
    <w:rsid w:val="008E27A5"/>
    <w:rsid w:val="00904FBC"/>
    <w:rsid w:val="00910AD5"/>
    <w:rsid w:val="00912AFA"/>
    <w:rsid w:val="00914E7A"/>
    <w:rsid w:val="00927950"/>
    <w:rsid w:val="009619B5"/>
    <w:rsid w:val="009632A8"/>
    <w:rsid w:val="009709F7"/>
    <w:rsid w:val="0097663D"/>
    <w:rsid w:val="0098693A"/>
    <w:rsid w:val="0099462E"/>
    <w:rsid w:val="009B3857"/>
    <w:rsid w:val="009E7D15"/>
    <w:rsid w:val="009F6923"/>
    <w:rsid w:val="00A07B05"/>
    <w:rsid w:val="00A168EA"/>
    <w:rsid w:val="00A31FFE"/>
    <w:rsid w:val="00A41348"/>
    <w:rsid w:val="00A47111"/>
    <w:rsid w:val="00A62191"/>
    <w:rsid w:val="00A63C09"/>
    <w:rsid w:val="00A644CA"/>
    <w:rsid w:val="00A66FE8"/>
    <w:rsid w:val="00A726D6"/>
    <w:rsid w:val="00A95055"/>
    <w:rsid w:val="00AB5FAA"/>
    <w:rsid w:val="00AC6F5A"/>
    <w:rsid w:val="00AE60E5"/>
    <w:rsid w:val="00AF5529"/>
    <w:rsid w:val="00B072D0"/>
    <w:rsid w:val="00B1110B"/>
    <w:rsid w:val="00B341B2"/>
    <w:rsid w:val="00B456DD"/>
    <w:rsid w:val="00B53C64"/>
    <w:rsid w:val="00B67188"/>
    <w:rsid w:val="00B87A90"/>
    <w:rsid w:val="00B91851"/>
    <w:rsid w:val="00B94A27"/>
    <w:rsid w:val="00BA453B"/>
    <w:rsid w:val="00BA7DFE"/>
    <w:rsid w:val="00BB4883"/>
    <w:rsid w:val="00BB5286"/>
    <w:rsid w:val="00BC06EE"/>
    <w:rsid w:val="00BD591C"/>
    <w:rsid w:val="00BD71AF"/>
    <w:rsid w:val="00BF34CB"/>
    <w:rsid w:val="00C35A36"/>
    <w:rsid w:val="00C41340"/>
    <w:rsid w:val="00C65168"/>
    <w:rsid w:val="00C752AD"/>
    <w:rsid w:val="00C75931"/>
    <w:rsid w:val="00C8264E"/>
    <w:rsid w:val="00C95BFD"/>
    <w:rsid w:val="00CA0529"/>
    <w:rsid w:val="00CA0BA9"/>
    <w:rsid w:val="00CA509D"/>
    <w:rsid w:val="00CA70CB"/>
    <w:rsid w:val="00CC35D5"/>
    <w:rsid w:val="00CD0819"/>
    <w:rsid w:val="00CD26C6"/>
    <w:rsid w:val="00CD2736"/>
    <w:rsid w:val="00CD50A1"/>
    <w:rsid w:val="00CD625C"/>
    <w:rsid w:val="00CD6FD6"/>
    <w:rsid w:val="00CD791E"/>
    <w:rsid w:val="00CE73A8"/>
    <w:rsid w:val="00CF41F1"/>
    <w:rsid w:val="00CF4545"/>
    <w:rsid w:val="00CF7603"/>
    <w:rsid w:val="00D00377"/>
    <w:rsid w:val="00D03E3C"/>
    <w:rsid w:val="00D0694F"/>
    <w:rsid w:val="00D07C15"/>
    <w:rsid w:val="00D12474"/>
    <w:rsid w:val="00D126C4"/>
    <w:rsid w:val="00D14332"/>
    <w:rsid w:val="00D21B0E"/>
    <w:rsid w:val="00D255D6"/>
    <w:rsid w:val="00D26775"/>
    <w:rsid w:val="00D418F0"/>
    <w:rsid w:val="00D425B0"/>
    <w:rsid w:val="00D5223B"/>
    <w:rsid w:val="00D8056F"/>
    <w:rsid w:val="00D81B10"/>
    <w:rsid w:val="00D823A5"/>
    <w:rsid w:val="00D85E58"/>
    <w:rsid w:val="00D94BEE"/>
    <w:rsid w:val="00D95F4D"/>
    <w:rsid w:val="00DA131F"/>
    <w:rsid w:val="00DA19C0"/>
    <w:rsid w:val="00DA54C1"/>
    <w:rsid w:val="00DB1AD9"/>
    <w:rsid w:val="00DE04C7"/>
    <w:rsid w:val="00DF1AE6"/>
    <w:rsid w:val="00DF6772"/>
    <w:rsid w:val="00E03777"/>
    <w:rsid w:val="00E04F25"/>
    <w:rsid w:val="00E142CA"/>
    <w:rsid w:val="00E17526"/>
    <w:rsid w:val="00E3385F"/>
    <w:rsid w:val="00E520A4"/>
    <w:rsid w:val="00E61B09"/>
    <w:rsid w:val="00E74C7F"/>
    <w:rsid w:val="00E7762C"/>
    <w:rsid w:val="00E84706"/>
    <w:rsid w:val="00E87520"/>
    <w:rsid w:val="00EA571A"/>
    <w:rsid w:val="00EB2E5F"/>
    <w:rsid w:val="00EB7FEE"/>
    <w:rsid w:val="00EC4953"/>
    <w:rsid w:val="00ED2F16"/>
    <w:rsid w:val="00ED6602"/>
    <w:rsid w:val="00EE1D54"/>
    <w:rsid w:val="00EE7972"/>
    <w:rsid w:val="00EE7B72"/>
    <w:rsid w:val="00EF7C99"/>
    <w:rsid w:val="00F013B2"/>
    <w:rsid w:val="00F07C53"/>
    <w:rsid w:val="00F26974"/>
    <w:rsid w:val="00F36478"/>
    <w:rsid w:val="00F4685A"/>
    <w:rsid w:val="00F50750"/>
    <w:rsid w:val="00F5755D"/>
    <w:rsid w:val="00F65A64"/>
    <w:rsid w:val="00F8340E"/>
    <w:rsid w:val="00F8728A"/>
    <w:rsid w:val="00F93393"/>
    <w:rsid w:val="00F94DC3"/>
    <w:rsid w:val="00FA5A80"/>
    <w:rsid w:val="00FA6F3A"/>
    <w:rsid w:val="00FC22EC"/>
    <w:rsid w:val="00FC6D94"/>
    <w:rsid w:val="00FD09BB"/>
    <w:rsid w:val="00FD74ED"/>
    <w:rsid w:val="00FF7A98"/>
    <w:rsid w:val="07441BD0"/>
    <w:rsid w:val="08D5C54F"/>
    <w:rsid w:val="0D38C13F"/>
    <w:rsid w:val="0DEFE802"/>
    <w:rsid w:val="0E7F1C80"/>
    <w:rsid w:val="14EBE808"/>
    <w:rsid w:val="1594A82D"/>
    <w:rsid w:val="16A359C2"/>
    <w:rsid w:val="17B1C54F"/>
    <w:rsid w:val="1B03DB34"/>
    <w:rsid w:val="1DFA5457"/>
    <w:rsid w:val="1FEF093A"/>
    <w:rsid w:val="20CFFD61"/>
    <w:rsid w:val="21F718D7"/>
    <w:rsid w:val="2268B67A"/>
    <w:rsid w:val="235B5503"/>
    <w:rsid w:val="259611E6"/>
    <w:rsid w:val="25BC5D48"/>
    <w:rsid w:val="281EA542"/>
    <w:rsid w:val="2828D991"/>
    <w:rsid w:val="2A28C017"/>
    <w:rsid w:val="2DA1F29E"/>
    <w:rsid w:val="2DE7191E"/>
    <w:rsid w:val="2DF0A3BD"/>
    <w:rsid w:val="31023389"/>
    <w:rsid w:val="3269C5B1"/>
    <w:rsid w:val="326B21AF"/>
    <w:rsid w:val="33987231"/>
    <w:rsid w:val="34B0782D"/>
    <w:rsid w:val="34FA3BC5"/>
    <w:rsid w:val="39DDCA69"/>
    <w:rsid w:val="3BFC5B6F"/>
    <w:rsid w:val="403C1144"/>
    <w:rsid w:val="410E3376"/>
    <w:rsid w:val="42D58623"/>
    <w:rsid w:val="42DA29B9"/>
    <w:rsid w:val="44AD34EB"/>
    <w:rsid w:val="51CB5924"/>
    <w:rsid w:val="5518777F"/>
    <w:rsid w:val="5602D371"/>
    <w:rsid w:val="5BFF6A41"/>
    <w:rsid w:val="5C1910D8"/>
    <w:rsid w:val="5E44ED3A"/>
    <w:rsid w:val="60389C4F"/>
    <w:rsid w:val="60716C71"/>
    <w:rsid w:val="61A103C2"/>
    <w:rsid w:val="622E6F30"/>
    <w:rsid w:val="63EF18CE"/>
    <w:rsid w:val="65CB8CE7"/>
    <w:rsid w:val="65D620DF"/>
    <w:rsid w:val="66EFD41A"/>
    <w:rsid w:val="67EE082B"/>
    <w:rsid w:val="6B4126EA"/>
    <w:rsid w:val="6BF1A707"/>
    <w:rsid w:val="6CB17A74"/>
    <w:rsid w:val="6D9627BB"/>
    <w:rsid w:val="6DD5EA6C"/>
    <w:rsid w:val="6F5BCA17"/>
    <w:rsid w:val="740354C8"/>
    <w:rsid w:val="759849A5"/>
    <w:rsid w:val="7620D329"/>
    <w:rsid w:val="7855293A"/>
    <w:rsid w:val="7BDDE500"/>
    <w:rsid w:val="7DC319E3"/>
    <w:rsid w:val="7F0FB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3B3191"/>
  <w14:defaultImageDpi w14:val="330"/>
  <w15:docId w15:val="{B4CBC81F-96A0-4344-A880-BF6645B7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E58"/>
  </w:style>
  <w:style w:type="paragraph" w:styleId="Nadpis1">
    <w:name w:val="heading 1"/>
    <w:basedOn w:val="Normln"/>
    <w:next w:val="Normln"/>
    <w:link w:val="Nadpis1Char"/>
    <w:uiPriority w:val="9"/>
    <w:qFormat/>
    <w:rsid w:val="00D85E5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36D9D" w:themeColor="accent1" w:themeShade="8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5E5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3A2E4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5E5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3A2E4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5E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3A2E4" w:themeColor="accent1" w:themeShade="B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5E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3A2E4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5E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36D9D" w:themeColor="accent1" w:themeShade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5E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36D9D" w:themeColor="accent1" w:themeShade="8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5E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36D9D" w:themeColor="accent1" w:themeShade="8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5E5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36D9D" w:themeColor="accent1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755D"/>
    <w:pPr>
      <w:tabs>
        <w:tab w:val="center" w:pos="4252"/>
        <w:tab w:val="right" w:pos="8504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55D"/>
  </w:style>
  <w:style w:type="paragraph" w:styleId="Zpat">
    <w:name w:val="footer"/>
    <w:basedOn w:val="Normln"/>
    <w:link w:val="ZpatChar"/>
    <w:uiPriority w:val="99"/>
    <w:unhideWhenUsed/>
    <w:rsid w:val="005A4B19"/>
    <w:pPr>
      <w:tabs>
        <w:tab w:val="center" w:pos="4252"/>
        <w:tab w:val="right" w:pos="8504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4B19"/>
    <w:rPr>
      <w:rFonts w:ascii="Calibri Light" w:hAnsi="Calibri Light"/>
      <w:sz w:val="20"/>
    </w:rPr>
  </w:style>
  <w:style w:type="paragraph" w:styleId="Zkladntext">
    <w:name w:val="Body Text"/>
    <w:basedOn w:val="Normln"/>
    <w:link w:val="ZkladntextChar"/>
    <w:rsid w:val="00F5755D"/>
    <w:pPr>
      <w:spacing w:before="190"/>
    </w:pPr>
    <w:rPr>
      <w:color w:val="666666" w:themeColor="text1" w:themeTint="BF"/>
      <w:sz w:val="19"/>
      <w:szCs w:val="20"/>
    </w:rPr>
  </w:style>
  <w:style w:type="character" w:customStyle="1" w:styleId="ZkladntextChar">
    <w:name w:val="Základní text Char"/>
    <w:basedOn w:val="Standardnpsmoodstavce"/>
    <w:link w:val="Zkladntext"/>
    <w:rsid w:val="00F5755D"/>
    <w:rPr>
      <w:color w:val="666666" w:themeColor="text1" w:themeTint="BF"/>
      <w:sz w:val="19"/>
      <w:szCs w:val="20"/>
    </w:rPr>
  </w:style>
  <w:style w:type="paragraph" w:customStyle="1" w:styleId="DateandRecipient">
    <w:name w:val="Date and Recipient"/>
    <w:basedOn w:val="Normln"/>
    <w:rsid w:val="00F5755D"/>
    <w:pPr>
      <w:spacing w:before="600"/>
    </w:pPr>
    <w:rPr>
      <w:color w:val="666666" w:themeColor="text1" w:themeTint="BF"/>
      <w:sz w:val="19"/>
    </w:rPr>
  </w:style>
  <w:style w:type="paragraph" w:styleId="Zvr">
    <w:name w:val="Closing"/>
    <w:basedOn w:val="Normln"/>
    <w:link w:val="ZvrChar"/>
    <w:unhideWhenUsed/>
    <w:rsid w:val="00F5755D"/>
    <w:pPr>
      <w:spacing w:before="200"/>
    </w:pPr>
    <w:rPr>
      <w:color w:val="666666" w:themeColor="text1" w:themeTint="BF"/>
      <w:sz w:val="19"/>
    </w:rPr>
  </w:style>
  <w:style w:type="character" w:customStyle="1" w:styleId="ZvrChar">
    <w:name w:val="Závěr Char"/>
    <w:basedOn w:val="Standardnpsmoodstavce"/>
    <w:link w:val="Zvr"/>
    <w:rsid w:val="00F5755D"/>
    <w:rPr>
      <w:color w:val="666666" w:themeColor="text1" w:themeTint="BF"/>
      <w:sz w:val="19"/>
    </w:rPr>
  </w:style>
  <w:style w:type="character" w:styleId="Zdraznnintenzivn">
    <w:name w:val="Intense Emphasis"/>
    <w:basedOn w:val="Standardnpsmoodstavce"/>
    <w:uiPriority w:val="21"/>
    <w:qFormat/>
    <w:rsid w:val="00D85E58"/>
    <w:rPr>
      <w:b/>
      <w:bCs/>
      <w:i/>
      <w:iCs/>
    </w:rPr>
  </w:style>
  <w:style w:type="character" w:styleId="Hypertextovodkaz">
    <w:name w:val="Hyperlink"/>
    <w:aliases w:val="Char1, Char1"/>
    <w:basedOn w:val="Standardnpsmoodstavce"/>
    <w:uiPriority w:val="99"/>
    <w:unhideWhenUsed/>
    <w:rsid w:val="00F5755D"/>
    <w:rPr>
      <w:color w:val="333333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B5FAA"/>
    <w:rPr>
      <w:color w:val="333333" w:themeColor="followedHyperlink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5E5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73C4EE" w:themeColor="accent1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5E58"/>
    <w:rPr>
      <w:rFonts w:asciiTheme="majorHAnsi" w:eastAsiaTheme="majorEastAsia" w:hAnsiTheme="majorHAnsi" w:cstheme="majorBidi"/>
      <w:color w:val="73C4EE" w:themeColor="accent1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D85E5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34EA2" w:themeColor="text2"/>
      <w:spacing w:val="-1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D85E58"/>
    <w:rPr>
      <w:rFonts w:asciiTheme="majorHAnsi" w:eastAsiaTheme="majorEastAsia" w:hAnsiTheme="majorHAnsi" w:cstheme="majorBidi"/>
      <w:caps/>
      <w:color w:val="034EA2" w:themeColor="text2"/>
      <w:spacing w:val="-15"/>
      <w:sz w:val="72"/>
      <w:szCs w:val="72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5E5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34EA2" w:themeColor="text2"/>
      <w:spacing w:val="-6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5E58"/>
    <w:rPr>
      <w:rFonts w:asciiTheme="majorHAnsi" w:eastAsiaTheme="majorEastAsia" w:hAnsiTheme="majorHAnsi" w:cstheme="majorBidi"/>
      <w:color w:val="034EA2" w:themeColor="text2"/>
      <w:spacing w:val="-6"/>
      <w:sz w:val="32"/>
      <w:szCs w:val="32"/>
    </w:rPr>
  </w:style>
  <w:style w:type="table" w:styleId="Mkatabulky">
    <w:name w:val="Table Grid"/>
    <w:basedOn w:val="Normlntabulka"/>
    <w:uiPriority w:val="59"/>
    <w:rsid w:val="003D1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text">
    <w:name w:val="Introduction text"/>
    <w:rsid w:val="005A4B19"/>
    <w:rPr>
      <w:rFonts w:ascii="Calibri Light" w:eastAsiaTheme="majorEastAsia" w:hAnsi="Calibri Light" w:cstheme="majorBidi"/>
      <w:color w:val="848484" w:themeColor="text1" w:themeTint="99"/>
      <w:kern w:val="28"/>
      <w:szCs w:val="52"/>
      <w:lang w:eastAsia="ja-JP"/>
    </w:rPr>
  </w:style>
  <w:style w:type="character" w:styleId="Odkaznakoment">
    <w:name w:val="annotation reference"/>
    <w:basedOn w:val="Standardnpsmoodstavce"/>
    <w:uiPriority w:val="99"/>
    <w:semiHidden/>
    <w:unhideWhenUsed/>
    <w:rsid w:val="007043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043BB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043B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43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43B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3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3BB"/>
    <w:rPr>
      <w:rFonts w:ascii="Segoe UI" w:hAnsi="Segoe UI" w:cs="Segoe UI"/>
      <w:sz w:val="18"/>
      <w:szCs w:val="18"/>
    </w:rPr>
  </w:style>
  <w:style w:type="paragraph" w:customStyle="1" w:styleId="Stijl1">
    <w:name w:val="Stijl1"/>
    <w:basedOn w:val="Nzev"/>
    <w:next w:val="Nadpis1"/>
    <w:link w:val="Stijl1Char"/>
    <w:qFormat/>
    <w:rsid w:val="005A4B19"/>
  </w:style>
  <w:style w:type="paragraph" w:styleId="Citt">
    <w:name w:val="Quote"/>
    <w:basedOn w:val="Normln"/>
    <w:next w:val="Normln"/>
    <w:link w:val="CittChar"/>
    <w:uiPriority w:val="29"/>
    <w:qFormat/>
    <w:rsid w:val="00D85E58"/>
    <w:pPr>
      <w:spacing w:before="120" w:after="120"/>
      <w:ind w:left="720"/>
    </w:pPr>
    <w:rPr>
      <w:color w:val="034EA2" w:themeColor="text2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85E58"/>
    <w:rPr>
      <w:rFonts w:asciiTheme="majorHAnsi" w:eastAsiaTheme="majorEastAsia" w:hAnsiTheme="majorHAnsi" w:cstheme="majorBidi"/>
      <w:color w:val="136D9D" w:themeColor="accent1" w:themeShade="80"/>
      <w:sz w:val="36"/>
      <w:szCs w:val="36"/>
    </w:rPr>
  </w:style>
  <w:style w:type="character" w:customStyle="1" w:styleId="Stijl1Char">
    <w:name w:val="Stijl1 Char"/>
    <w:basedOn w:val="NzevChar"/>
    <w:link w:val="Stijl1"/>
    <w:rsid w:val="005A4B19"/>
    <w:rPr>
      <w:rFonts w:ascii="Calibri Light" w:eastAsiaTheme="majorEastAsia" w:hAnsi="Calibri Light" w:cstheme="majorBidi"/>
      <w:caps/>
      <w:color w:val="034EA2" w:themeColor="text2"/>
      <w:spacing w:val="-15"/>
      <w:kern w:val="28"/>
      <w:sz w:val="60"/>
      <w:szCs w:val="52"/>
      <w:lang w:val="pl-PL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D85E58"/>
    <w:rPr>
      <w:rFonts w:asciiTheme="majorHAnsi" w:eastAsiaTheme="majorEastAsia" w:hAnsiTheme="majorHAnsi" w:cstheme="majorBidi"/>
      <w:color w:val="23A2E4" w:themeColor="accent1" w:themeShade="BF"/>
      <w:sz w:val="32"/>
      <w:szCs w:val="32"/>
    </w:rPr>
  </w:style>
  <w:style w:type="character" w:customStyle="1" w:styleId="CittChar">
    <w:name w:val="Citát Char"/>
    <w:basedOn w:val="Standardnpsmoodstavce"/>
    <w:link w:val="Citt"/>
    <w:uiPriority w:val="29"/>
    <w:rsid w:val="00D85E58"/>
    <w:rPr>
      <w:color w:val="034EA2" w:themeColor="text2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D85E58"/>
    <w:rPr>
      <w:smallCaps/>
      <w:color w:val="7A7A7A" w:themeColor="text1" w:themeTint="A6"/>
      <w:u w:val="none" w:color="989898" w:themeColor="text1" w:themeTint="80"/>
      <w:bdr w:val="none" w:sz="0" w:space="0" w:color="auto"/>
    </w:rPr>
  </w:style>
  <w:style w:type="character" w:styleId="Odkazintenzivn">
    <w:name w:val="Intense Reference"/>
    <w:basedOn w:val="Standardnpsmoodstavce"/>
    <w:uiPriority w:val="32"/>
    <w:qFormat/>
    <w:rsid w:val="00D85E58"/>
    <w:rPr>
      <w:b/>
      <w:bCs/>
      <w:smallCaps/>
      <w:color w:val="034EA2" w:themeColor="text2"/>
      <w:u w:val="single"/>
    </w:rPr>
  </w:style>
  <w:style w:type="character" w:customStyle="1" w:styleId="fontstyle01">
    <w:name w:val="fontstyle01"/>
    <w:basedOn w:val="Standardnpsmoodstavce"/>
    <w:rsid w:val="00CF7603"/>
    <w:rPr>
      <w:rFonts w:ascii="Calibri-LightItalic" w:hAnsi="Calibri-LightItalic" w:hint="default"/>
      <w:b w:val="0"/>
      <w:bCs w:val="0"/>
      <w:i/>
      <w:iCs/>
      <w:color w:val="000000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5E58"/>
    <w:rPr>
      <w:rFonts w:asciiTheme="majorHAnsi" w:eastAsiaTheme="majorEastAsia" w:hAnsiTheme="majorHAnsi" w:cstheme="majorBidi"/>
      <w:color w:val="23A2E4" w:themeColor="accent1" w:themeShade="BF"/>
      <w:sz w:val="28"/>
      <w:szCs w:val="28"/>
    </w:rPr>
  </w:style>
  <w:style w:type="paragraph" w:styleId="Odstavecseseznamem">
    <w:name w:val="List Paragraph"/>
    <w:aliases w:val="Fiche List Paragraph,Task Body,Viñetas (Inicio Parrafo),3 Txt tabla,Zerrenda-paragrafoa,Lista multicolor - Énfasis 11,Paragrafo elenco,Dot pt,F5 List Paragraph,List Paragraph1,No Spacing1,List Paragraph Char Char Char,Indicator Text"/>
    <w:basedOn w:val="Normln"/>
    <w:link w:val="OdstavecseseznamemChar"/>
    <w:uiPriority w:val="34"/>
    <w:qFormat/>
    <w:rsid w:val="007F32A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B1A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US"/>
    </w:rPr>
  </w:style>
  <w:style w:type="character" w:styleId="Siln">
    <w:name w:val="Strong"/>
    <w:basedOn w:val="Standardnpsmoodstavce"/>
    <w:uiPriority w:val="22"/>
    <w:qFormat/>
    <w:rsid w:val="00D85E58"/>
    <w:rPr>
      <w:b/>
      <w:bCs/>
    </w:rPr>
  </w:style>
  <w:style w:type="character" w:styleId="Zdraznn">
    <w:name w:val="Emphasis"/>
    <w:basedOn w:val="Standardnpsmoodstavce"/>
    <w:uiPriority w:val="20"/>
    <w:qFormat/>
    <w:rsid w:val="00D85E58"/>
    <w:rPr>
      <w:i/>
      <w:iCs/>
    </w:rPr>
  </w:style>
  <w:style w:type="paragraph" w:customStyle="1" w:styleId="xxmsonormal">
    <w:name w:val="x_x_msonormal"/>
    <w:basedOn w:val="Normln"/>
    <w:rsid w:val="00EB2E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de-DE"/>
    </w:rPr>
  </w:style>
  <w:style w:type="character" w:customStyle="1" w:styleId="OdstavecseseznamemChar">
    <w:name w:val="Odstavec se seznamem Char"/>
    <w:aliases w:val="Fiche List Paragraph Char,Task Body Char,Viñetas (Inicio Parrafo) Char,3 Txt tabla Char,Zerrenda-paragrafoa Char,Lista multicolor - Énfasis 11 Char,Paragrafo elenco Char,Dot pt Char,F5 List Paragraph Char,List Paragraph1 Char"/>
    <w:basedOn w:val="Standardnpsmoodstavce"/>
    <w:link w:val="Odstavecseseznamem"/>
    <w:uiPriority w:val="34"/>
    <w:qFormat/>
    <w:rsid w:val="00CA509D"/>
  </w:style>
  <w:style w:type="paragraph" w:customStyle="1" w:styleId="CELTICTitle">
    <w:name w:val="CELTIC Title"/>
    <w:basedOn w:val="Normln"/>
    <w:rsid w:val="00F8340E"/>
    <w:pPr>
      <w:pBdr>
        <w:top w:val="single" w:sz="4" w:space="10" w:color="auto" w:shadow="1"/>
        <w:left w:val="single" w:sz="4" w:space="10" w:color="auto" w:shadow="1"/>
        <w:bottom w:val="single" w:sz="4" w:space="10" w:color="auto" w:shadow="1"/>
        <w:right w:val="single" w:sz="4" w:space="10" w:color="auto" w:shadow="1"/>
      </w:pBdr>
      <w:spacing w:before="200" w:after="200"/>
      <w:jc w:val="center"/>
    </w:pPr>
    <w:rPr>
      <w:rFonts w:ascii="Verdana" w:eastAsia="Times New Roman" w:hAnsi="Verdana" w:cs="Times New Roman"/>
      <w:b/>
      <w:bCs/>
      <w:caps/>
      <w:color w:val="000080"/>
      <w:sz w:val="28"/>
      <w:szCs w:val="28"/>
      <w:lang w:eastAsia="en-GB" w:bidi="en-GB"/>
    </w:rPr>
  </w:style>
  <w:style w:type="paragraph" w:styleId="Bezmezer">
    <w:name w:val="No Spacing"/>
    <w:uiPriority w:val="1"/>
    <w:qFormat/>
    <w:rsid w:val="00D85E58"/>
    <w:pPr>
      <w:spacing w:after="0" w:line="240" w:lineRule="auto"/>
    </w:pPr>
  </w:style>
  <w:style w:type="paragraph" w:customStyle="1" w:styleId="KTHTitel">
    <w:name w:val="KTH Titel"/>
    <w:basedOn w:val="Normln"/>
    <w:next w:val="Zkladntext"/>
    <w:uiPriority w:val="2"/>
    <w:rsid w:val="00F93393"/>
    <w:pPr>
      <w:spacing w:after="360" w:line="320" w:lineRule="atLeast"/>
    </w:pPr>
    <w:rPr>
      <w:rFonts w:asciiTheme="majorHAnsi" w:eastAsiaTheme="minorHAnsi" w:hAnsiTheme="majorHAnsi"/>
      <w:b/>
      <w:sz w:val="28"/>
      <w:szCs w:val="20"/>
      <w:lang w:eastAsia="en-US"/>
    </w:rPr>
  </w:style>
  <w:style w:type="paragraph" w:customStyle="1" w:styleId="BulletLevel1">
    <w:name w:val="Bullet Level 1"/>
    <w:basedOn w:val="Odstavecseseznamem"/>
    <w:link w:val="BulletLevel1Char"/>
    <w:qFormat/>
    <w:rsid w:val="00DF6772"/>
    <w:pPr>
      <w:numPr>
        <w:numId w:val="18"/>
      </w:numPr>
      <w:spacing w:after="120" w:line="264" w:lineRule="auto"/>
      <w:ind w:left="714" w:hanging="357"/>
      <w:contextualSpacing w:val="0"/>
    </w:pPr>
    <w:rPr>
      <w:rFonts w:ascii="Calibri Light" w:hAnsi="Calibri Light"/>
      <w:sz w:val="20"/>
    </w:rPr>
  </w:style>
  <w:style w:type="character" w:customStyle="1" w:styleId="BulletLevel1Char">
    <w:name w:val="Bullet Level 1 Char"/>
    <w:basedOn w:val="Standardnpsmoodstavce"/>
    <w:link w:val="BulletLevel1"/>
    <w:rsid w:val="00DF6772"/>
    <w:rPr>
      <w:rFonts w:ascii="Calibri Light" w:hAnsi="Calibri Light"/>
      <w:color w:val="333333" w:themeColor="text1"/>
      <w:sz w:val="20"/>
      <w:szCs w:val="22"/>
      <w:lang w:val="pl-PL" w:eastAsia="en-US"/>
    </w:rPr>
  </w:style>
  <w:style w:type="paragraph" w:customStyle="1" w:styleId="LeadInText">
    <w:name w:val="Lead In Text"/>
    <w:basedOn w:val="Normln"/>
    <w:link w:val="LeadInTextChar"/>
    <w:qFormat/>
    <w:rsid w:val="00DF6772"/>
    <w:pPr>
      <w:spacing w:after="240" w:line="264" w:lineRule="auto"/>
    </w:pPr>
    <w:rPr>
      <w:color w:val="848484" w:themeColor="text1" w:themeTint="99"/>
      <w:sz w:val="24"/>
      <w:lang w:eastAsia="en-US"/>
    </w:rPr>
  </w:style>
  <w:style w:type="character" w:customStyle="1" w:styleId="LeadInTextChar">
    <w:name w:val="Lead In Text Char"/>
    <w:basedOn w:val="Standardnpsmoodstavce"/>
    <w:link w:val="LeadInText"/>
    <w:rsid w:val="00DF6772"/>
    <w:rPr>
      <w:rFonts w:ascii="Calibri Light" w:hAnsi="Calibri Light"/>
      <w:color w:val="848484" w:themeColor="text1" w:themeTint="99"/>
      <w:lang w:val="pl-PL"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D85E58"/>
    <w:pPr>
      <w:outlineLvl w:val="9"/>
    </w:pPr>
  </w:style>
  <w:style w:type="paragraph" w:customStyle="1" w:styleId="xxdefault">
    <w:name w:val="x_x_default"/>
    <w:basedOn w:val="Normln"/>
    <w:rsid w:val="002441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de-DE"/>
    </w:rPr>
  </w:style>
  <w:style w:type="paragraph" w:customStyle="1" w:styleId="xmsonormal">
    <w:name w:val="x_msonormal"/>
    <w:basedOn w:val="Normln"/>
    <w:rsid w:val="00323F79"/>
    <w:rPr>
      <w:rFonts w:ascii="Calibri" w:eastAsiaTheme="minorHAnsi" w:hAnsi="Calibri" w:cs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rFonts w:ascii="Calibri Light" w:hAnsi="Calibri Light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Pr>
      <w:szCs w:val="20"/>
    </w:rPr>
  </w:style>
  <w:style w:type="paragraph" w:styleId="Revize">
    <w:name w:val="Revision"/>
    <w:hidden/>
    <w:uiPriority w:val="99"/>
    <w:semiHidden/>
    <w:rsid w:val="008313F8"/>
    <w:rPr>
      <w:rFonts w:ascii="Calibri Light" w:hAnsi="Calibri Light"/>
      <w:sz w:val="20"/>
    </w:rPr>
  </w:style>
  <w:style w:type="character" w:styleId="Zmnka">
    <w:name w:val="Mention"/>
    <w:basedOn w:val="Standardnpsmoodstavce"/>
    <w:uiPriority w:val="99"/>
    <w:unhideWhenUsed/>
    <w:rsid w:val="004A3721"/>
    <w:rPr>
      <w:color w:val="2B579A"/>
      <w:shd w:val="clear" w:color="auto" w:fill="E6E6E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5E58"/>
    <w:rPr>
      <w:rFonts w:asciiTheme="majorHAnsi" w:eastAsiaTheme="majorEastAsia" w:hAnsiTheme="majorHAnsi" w:cstheme="majorBidi"/>
      <w:color w:val="23A2E4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5E58"/>
    <w:rPr>
      <w:rFonts w:asciiTheme="majorHAnsi" w:eastAsiaTheme="majorEastAsia" w:hAnsiTheme="majorHAnsi" w:cstheme="majorBidi"/>
      <w:caps/>
      <w:color w:val="23A2E4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5E58"/>
    <w:rPr>
      <w:rFonts w:asciiTheme="majorHAnsi" w:eastAsiaTheme="majorEastAsia" w:hAnsiTheme="majorHAnsi" w:cstheme="majorBidi"/>
      <w:i/>
      <w:iCs/>
      <w:caps/>
      <w:color w:val="136D9D" w:themeColor="accent1" w:themeShade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5E58"/>
    <w:rPr>
      <w:rFonts w:asciiTheme="majorHAnsi" w:eastAsiaTheme="majorEastAsia" w:hAnsiTheme="majorHAnsi" w:cstheme="majorBidi"/>
      <w:b/>
      <w:bCs/>
      <w:color w:val="136D9D" w:themeColor="accent1" w:themeShade="8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5E58"/>
    <w:rPr>
      <w:rFonts w:asciiTheme="majorHAnsi" w:eastAsiaTheme="majorEastAsia" w:hAnsiTheme="majorHAnsi" w:cstheme="majorBidi"/>
      <w:b/>
      <w:bCs/>
      <w:i/>
      <w:iCs/>
      <w:color w:val="136D9D" w:themeColor="accent1" w:themeShade="8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5E58"/>
    <w:rPr>
      <w:rFonts w:asciiTheme="majorHAnsi" w:eastAsiaTheme="majorEastAsia" w:hAnsiTheme="majorHAnsi" w:cstheme="majorBidi"/>
      <w:i/>
      <w:iCs/>
      <w:color w:val="136D9D" w:themeColor="accent1" w:themeShade="8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85E58"/>
    <w:pPr>
      <w:spacing w:line="240" w:lineRule="auto"/>
    </w:pPr>
    <w:rPr>
      <w:b/>
      <w:bCs/>
      <w:smallCaps/>
      <w:color w:val="034EA2" w:themeColor="text2"/>
    </w:rPr>
  </w:style>
  <w:style w:type="character" w:styleId="Zdraznnjemn">
    <w:name w:val="Subtle Emphasis"/>
    <w:basedOn w:val="Standardnpsmoodstavce"/>
    <w:uiPriority w:val="19"/>
    <w:qFormat/>
    <w:rsid w:val="00D85E58"/>
    <w:rPr>
      <w:i/>
      <w:iCs/>
      <w:color w:val="7A7A7A" w:themeColor="text1" w:themeTint="A6"/>
    </w:rPr>
  </w:style>
  <w:style w:type="character" w:styleId="Nzevknihy">
    <w:name w:val="Book Title"/>
    <w:basedOn w:val="Standardnpsmoodstavce"/>
    <w:uiPriority w:val="33"/>
    <w:qFormat/>
    <w:rsid w:val="00D85E58"/>
    <w:rPr>
      <w:b/>
      <w:bCs/>
      <w:smallCaps/>
      <w:spacing w:val="10"/>
    </w:rPr>
  </w:style>
  <w:style w:type="character" w:styleId="Nevyeenzmnka">
    <w:name w:val="Unresolved Mention"/>
    <w:basedOn w:val="Standardnpsmoodstavce"/>
    <w:uiPriority w:val="99"/>
    <w:semiHidden/>
    <w:unhideWhenUsed/>
    <w:rsid w:val="00513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iturbanmobility.eu" TargetMode="External"/><Relationship Id="rId18" Type="http://schemas.openxmlformats.org/officeDocument/2006/relationships/image" Target="media/image3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nstagram.com/eiturbanmob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it.europa.eu/" TargetMode="External"/><Relationship Id="rId17" Type="http://schemas.openxmlformats.org/officeDocument/2006/relationships/hyperlink" Target="https://www.facebook.com/EIT-Urban-Mobility-1951333174955858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4.jp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iturbanmobility.eu/?post_type=publi&amp;p=40133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hyperlink" Target="mailto:eliska.bajgarova@eiturbanmobility.eu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channel/UCnsVPKuZBK_UiZo0MOYNxXQ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company/eit-urban-mobility" TargetMode="External"/><Relationship Id="rId22" Type="http://schemas.openxmlformats.org/officeDocument/2006/relationships/image" Target="media/image5.jpg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EI">
  <a:themeElements>
    <a:clrScheme name="EIT Colour Palette">
      <a:dk1>
        <a:srgbClr val="333333"/>
      </a:dk1>
      <a:lt1>
        <a:srgbClr val="FFFFFF"/>
      </a:lt1>
      <a:dk2>
        <a:srgbClr val="034EA2"/>
      </a:dk2>
      <a:lt2>
        <a:srgbClr val="6BB745"/>
      </a:lt2>
      <a:accent1>
        <a:srgbClr val="73C4EE"/>
      </a:accent1>
      <a:accent2>
        <a:srgbClr val="630F7A"/>
      </a:accent2>
      <a:accent3>
        <a:srgbClr val="E74394"/>
      </a:accent3>
      <a:accent4>
        <a:srgbClr val="152D79"/>
      </a:accent4>
      <a:accent5>
        <a:srgbClr val="FDCD15"/>
      </a:accent5>
      <a:accent6>
        <a:srgbClr val="00AFAA"/>
      </a:accent6>
      <a:hlink>
        <a:srgbClr val="333333"/>
      </a:hlink>
      <a:folHlink>
        <a:srgbClr val="3333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mmDocs" ma:contentTypeID="0x010100A0FF2645BF5C814FBDDA9D8B9D0642B500CC8A0B902A6E5F43A2FBBDF0C08A0804" ma:contentTypeVersion="23" ma:contentTypeDescription="" ma:contentTypeScope="" ma:versionID="87373f74925ab1e003c40e8159846fd0">
  <xsd:schema xmlns:xsd="http://www.w3.org/2001/XMLSchema" xmlns:xs="http://www.w3.org/2001/XMLSchema" xmlns:p="http://schemas.microsoft.com/office/2006/metadata/properties" xmlns:ns2="3b6e9603-1343-4ec5-8e91-d1f880153d9a" xmlns:ns3="74b272ca-86d5-4eaf-9000-0ea7439bcaa6" targetNamespace="http://schemas.microsoft.com/office/2006/metadata/properties" ma:root="true" ma:fieldsID="caee62576b4241083b8ecf9fe6c6072b" ns2:_="" ns3:_="">
    <xsd:import namespace="3b6e9603-1343-4ec5-8e91-d1f880153d9a"/>
    <xsd:import namespace="74b272ca-86d5-4eaf-9000-0ea7439bcaa6"/>
    <xsd:element name="properties">
      <xsd:complexType>
        <xsd:sequence>
          <xsd:element name="documentManagement">
            <xsd:complexType>
              <xsd:all>
                <xsd:element ref="ns2:n20b9de0158a40ada48a9c9c84b8a879" minOccurs="0"/>
                <xsd:element ref="ns2:TaxCatchAll" minOccurs="0"/>
                <xsd:element ref="ns2:TaxCatchAllLabel" minOccurs="0"/>
                <xsd:element ref="ns2:Order1" minOccurs="0"/>
                <xsd:element ref="ns2:gf34a3f2f5b3463b8378a6efa02f0dc0" minOccurs="0"/>
                <xsd:element ref="ns2:gdf9ec4566c8492d89d29fa22f6f61fb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e9603-1343-4ec5-8e91-d1f880153d9a" elementFormDefault="qualified">
    <xsd:import namespace="http://schemas.microsoft.com/office/2006/documentManagement/types"/>
    <xsd:import namespace="http://schemas.microsoft.com/office/infopath/2007/PartnerControls"/>
    <xsd:element name="n20b9de0158a40ada48a9c9c84b8a879" ma:index="9" nillable="true" ma:taxonomy="true" ma:internalName="n20b9de0158a40ada48a9c9c84b8a879" ma:taxonomyFieldName="FileKeywords" ma:displayName="Keyword" ma:readOnly="false" ma:default="" ma:fieldId="{720b9de0-158a-40ad-a48a-9c9c84b8a879}" ma:taxonomyMulti="true" ma:sspId="4b45f33e-29d8-4f9a-b746-dab35ffce6a3" ma:termSetId="b3432bc7-1f61-4258-aefb-5aac13f9702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d1212e7-82fb-4f49-99c4-92a0da230a9f}" ma:internalName="TaxCatchAll" ma:showField="CatchAllData" ma:web="3b6e9603-1343-4ec5-8e91-d1f880153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d1212e7-82fb-4f49-99c4-92a0da230a9f}" ma:internalName="TaxCatchAllLabel" ma:readOnly="true" ma:showField="CatchAllDataLabel" ma:web="3b6e9603-1343-4ec5-8e91-d1f880153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der1" ma:index="13" nillable="true" ma:displayName="Order" ma:internalName="Order1">
      <xsd:simpleType>
        <xsd:restriction base="dms:Number"/>
      </xsd:simpleType>
    </xsd:element>
    <xsd:element name="gf34a3f2f5b3463b8378a6efa02f0dc0" ma:index="15" nillable="true" ma:taxonomy="true" ma:internalName="gf34a3f2f5b3463b8378a6efa02f0dc0" ma:taxonomyFieldName="DocType" ma:displayName="DocType" ma:default="" ma:fieldId="{0f34a3f2-f5b3-463b-8378-a6efa02f0dc0}" ma:sspId="4b45f33e-29d8-4f9a-b746-dab35ffce6a3" ma:termSetId="10353236-4f5e-4e60-9b5b-3cb95a7512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df9ec4566c8492d89d29fa22f6f61fb" ma:index="17" nillable="true" ma:taxonomy="true" ma:internalName="gdf9ec4566c8492d89d29fa22f6f61fb" ma:taxonomyFieldName="DocSubType" ma:displayName="DocSubType" ma:default="" ma:fieldId="{0df9ec45-66c8-492d-89d2-9fa22f6f61fb}" ma:sspId="4b45f33e-29d8-4f9a-b746-dab35ffce6a3" ma:termSetId="10353236-4f5e-4e60-9b5b-3cb95a7512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272ca-86d5-4eaf-9000-0ea7439bc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b45f33e-29d8-4f9a-b746-dab35ffce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b6e9603-1343-4ec5-8e91-d1f880153d9a">
      <UserInfo>
        <DisplayName/>
        <AccountId xsi:nil="true"/>
        <AccountType/>
      </UserInfo>
    </SharedWithUsers>
    <TaxCatchAll xmlns="3b6e9603-1343-4ec5-8e91-d1f880153d9a">
      <Value>137</Value>
    </TaxCatchAll>
    <n20b9de0158a40ada48a9c9c84b8a879 xmlns="3b6e9603-1343-4ec5-8e91-d1f880153d9a">
      <Terms xmlns="http://schemas.microsoft.com/office/infopath/2007/PartnerControls"/>
    </n20b9de0158a40ada48a9c9c84b8a879>
    <gdf9ec4566c8492d89d29fa22f6f61fb xmlns="3b6e9603-1343-4ec5-8e91-d1f880153d9a">
      <Terms xmlns="http://schemas.microsoft.com/office/infopath/2007/PartnerControls"/>
    </gdf9ec4566c8492d89d29fa22f6f61fb>
    <gf34a3f2f5b3463b8378a6efa02f0dc0 xmlns="3b6e9603-1343-4ec5-8e91-d1f880153d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Press releases ＆ media visits</TermName>
          <TermId xmlns="http://schemas.microsoft.com/office/infopath/2007/PartnerControls">e7c598b4-c2d1-454a-9443-0db4a45ef3cf</TermId>
        </TermInfo>
      </Terms>
    </gf34a3f2f5b3463b8378a6efa02f0dc0>
    <Order1 xmlns="3b6e9603-1343-4ec5-8e91-d1f880153d9a" xsi:nil="true"/>
    <lcf76f155ced4ddcb4097134ff3c332f xmlns="74b272ca-86d5-4eaf-9000-0ea7439bcaa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996EE-0CBE-4038-9BF9-ED228DC2EA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954D73-4AA2-4EDB-BC7B-1E1C05402D4F}"/>
</file>

<file path=customXml/itemProps3.xml><?xml version="1.0" encoding="utf-8"?>
<ds:datastoreItem xmlns:ds="http://schemas.openxmlformats.org/officeDocument/2006/customXml" ds:itemID="{B97EE382-1EFB-431A-9BE7-85A48FE5E605}">
  <ds:schemaRefs>
    <ds:schemaRef ds:uri="http://schemas.microsoft.com/office/2006/metadata/properties"/>
    <ds:schemaRef ds:uri="http://schemas.microsoft.com/office/infopath/2007/PartnerControls"/>
    <ds:schemaRef ds:uri="3b6e9603-1343-4ec5-8e91-d1f880153d9a"/>
    <ds:schemaRef ds:uri="74b272ca-86d5-4eaf-9000-0ea7439bcaa6"/>
  </ds:schemaRefs>
</ds:datastoreItem>
</file>

<file path=customXml/itemProps4.xml><?xml version="1.0" encoding="utf-8"?>
<ds:datastoreItem xmlns:ds="http://schemas.openxmlformats.org/officeDocument/2006/customXml" ds:itemID="{0F1A5296-5050-479E-8644-6C11DB50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873</Words>
  <Characters>5151</Characters>
  <Application>Microsoft Office Word</Application>
  <DocSecurity>0</DocSecurity>
  <Lines>42</Lines>
  <Paragraphs>12</Paragraphs>
  <ScaleCrop>false</ScaleCrop>
  <Company>test company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 Moulin</dc:creator>
  <cp:keywords/>
  <dc:description/>
  <cp:lastModifiedBy>Eliska Bajgarova</cp:lastModifiedBy>
  <cp:revision>92</cp:revision>
  <dcterms:created xsi:type="dcterms:W3CDTF">2024-09-02T21:29:00Z</dcterms:created>
  <dcterms:modified xsi:type="dcterms:W3CDTF">2024-09-30T14:35:00Z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0x010100A0FF2645BF5C814FBDDA9D8B9D0642B500CC8A0B902A6E5F43A2FBBDF0C08A0804</vt:lpwstr>
  </property>
  <property fmtid="{D5CDD505-2E9C-101B-9397-08002B2CF9AE}" pid="3" name="ComplianceAssetId">
    <vt:lpwstr/>
  </property>
  <property fmtid="{D5CDD505-2E9C-101B-9397-08002B2CF9AE}" pid="4" name="DocType">
    <vt:lpwstr>137</vt:lpwstr>
  </property>
  <property fmtid="{D5CDD505-2E9C-101B-9397-08002B2CF9AE}" pid="5" name="MediaServiceImageTags">
    <vt:lpwstr/>
  </property>
  <property fmtid="{D5CDD505-2E9C-101B-9397-08002B2CF9AE}" pid="6" name="FileKeywords">
    <vt:lpwstr/>
  </property>
  <property fmtid="{D5CDD505-2E9C-101B-9397-08002B2CF9AE}" pid="7" name="_docset_NoMedatataSyncRequired">
    <vt:lpwstr>True</vt:lpwstr>
  </property>
</Properties>
</file>